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USAID</w:t>
      </w:r>
      <w:r>
        <w:t xml:space="preserve"> </w:t>
      </w:r>
      <w:r>
        <w:t xml:space="preserve">Final</w:t>
      </w:r>
      <w:r>
        <w:t xml:space="preserve"> </w:t>
      </w:r>
      <w:r>
        <w:t xml:space="preserve">Mission</w:t>
      </w:r>
    </w:p>
    <w:bookmarkStart w:id="26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The closure of USAID/Mozambique will result in the imminent termination of 72 awards. A total of 9 awards that have not been terminated will transition to the US State Department which will take over management responsibilities as of July 1, 2025.</w:t>
      </w:r>
    </w:p>
    <w:p>
      <w:pPr>
        <w:pStyle w:val="BodyText"/>
      </w:pPr>
      <w:r>
        <w:drawing>
          <wp:inline>
            <wp:extent cx="5334000" cy="5067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said_final_missio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Number of Awards by Type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Award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Awards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COOPERATIVE AGREEMENT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ORDER CONTRACT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IDIQ CONTRACT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 CALL 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said_final_mission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asset-disposition"/>
    <w:p>
      <w:pPr>
        <w:pStyle w:val="Heading2"/>
      </w:pPr>
      <w:r>
        <w:t xml:space="preserve">Asset Disposition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Key Asset Disposition by Beneficiary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Asset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Government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Other Entities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Vehicles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Motorcycles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Laptop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Desktop Computer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Cellphone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649</w:t>
            </w:r>
          </w:p>
        </w:tc>
      </w:tr>
    </w:tbl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usaid_final_mission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annexes"/>
    <w:p>
      <w:pPr>
        <w:pStyle w:val="Heading2"/>
      </w:pPr>
      <w:r>
        <w:t xml:space="preserve">Annexes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Asset Disposition by Beneficiary (All Assets)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Asset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Government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Other Entities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Toilet Material (latrines)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Cellphone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Motorcycles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Mobile Charger/Adaptor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Laptop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Vehicles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Microphones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Furniture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Memory Card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Mobile Protector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Desktop Computer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Projector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Computer Equipment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Airpods/Headphones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Autoclaves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Tablets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Equipment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Photocopiers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 Conditioner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Home Appliances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Video Conference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Coffee Machine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Access 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Audiovisual Systems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CCTV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Safebox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Server 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Sound Mixer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Translation Equipment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Test Kit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USAID Final Mission</dc:title>
  <dc:creator/>
  <cp:keywords/>
  <dcterms:created xsi:type="dcterms:W3CDTF">2025-04-21T13:38:57Z</dcterms:created>
  <dcterms:modified xsi:type="dcterms:W3CDTF">2025-04-21T13:38:57Z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