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Georgia" w:hAnsi="Georgia"/>
          <w:b/>
          <w:color w:val="26231D"/>
          <w:sz w:val="60"/>
        </w:rPr>
        <w:t>PLAZA MARKETPLACE</w:t>
      </w:r>
    </w:p>
    <w:p>
      <w:r>
        <w:rPr>
          <w:rFonts w:ascii="Georgia" w:hAnsi="Georgia"/>
          <w:color w:val="C22E4E"/>
          <w:sz w:val="32"/>
        </w:rPr>
        <w:t>Plan de negocio</w:t>
      </w:r>
    </w:p>
    <w:p/>
    <w:p/>
    <w:p/>
    <w:p/>
    <w:p/>
    <w:p/>
    <w:p>
      <w:pPr>
        <w:pBdr>
          <w:top w:val="single" w:sz="6" w:space="6" w:color="E4DCCB"/>
        </w:pBdr>
      </w:pPr>
    </w:p>
    <w:p>
      <w:r>
        <w:rPr>
          <w:b/>
          <w:sz w:val="22"/>
        </w:rPr>
        <w:t>[Nombre del fundador]</w:t>
      </w:r>
    </w:p>
    <w:p>
      <w:r>
        <w:rPr>
          <w:color w:val="7A7168"/>
          <w:sz w:val="21"/>
        </w:rPr>
        <w:t>josephmilhem4@gmail.com</w:t>
      </w:r>
    </w:p>
    <w:p>
      <w:r>
        <w:rPr>
          <w:color w:val="7A7168"/>
          <w:sz w:val="21"/>
        </w:rPr>
        <w:t>plaza-marketplace.vercel.app</w:t>
      </w:r>
    </w:p>
    <w:p>
      <w:r>
        <w:rPr>
          <w:color w:val="7A7168"/>
          <w:sz w:val="21"/>
        </w:rPr>
        <w:t>2026 · versión preliminar</w:t>
      </w:r>
    </w:p>
    <w:p>
      <w:r>
        <w:br w:type="page"/>
      </w:r>
    </w:p>
    <w:p>
      <w:pPr>
        <w:spacing w:before="520" w:after="80"/>
        <w:pBdr>
          <w:bottom w:val="single" w:sz="6" w:space="6" w:color="E4DCCB"/>
        </w:pBdr>
      </w:pPr>
      <w:r>
        <w:rPr>
          <w:rFonts w:ascii="Georgia" w:hAnsi="Georgia"/>
          <w:b/>
          <w:color w:val="C22E4E"/>
          <w:sz w:val="32"/>
        </w:rPr>
        <w:t xml:space="preserve">1.  </w:t>
      </w:r>
      <w:r>
        <w:rPr>
          <w:rFonts w:ascii="Georgia" w:hAnsi="Georgia"/>
          <w:b/>
          <w:color w:val="26231D"/>
          <w:sz w:val="32"/>
        </w:rPr>
        <w:t>Resumen ejecutivo</w:t>
      </w:r>
    </w:p>
    <w:p>
      <w:pPr>
        <w:spacing w:after="160"/>
      </w:pPr>
      <w:r>
        <w:rPr>
          <w:i w:val="0"/>
          <w:color w:val="26231D"/>
          <w:sz w:val="22"/>
        </w:rPr>
        <w:t>Plaza Marketplace es una plataforma que ayuda a decidir en qué plaza comercial de Panamá conviene abrir un negocio. Cruza el tipo de negocio que alguien quiere abrir con la mezcla de negocios ya instalados en cada plaza (tenant mix), las anclas que generan tráfico, la competencia — dentro de la plaza y en el radio de influencia — y el carácter del área donde está ubicada. A diferencia de un portal inmobiliario tradicional, no solo publica locales disponibles: recomienda dónde conviene abrir, con razones.</w:t>
      </w:r>
    </w:p>
    <w:p>
      <w:pPr>
        <w:spacing w:after="160"/>
      </w:pPr>
      <w:r>
        <w:rPr>
          <w:i w:val="0"/>
          <w:color w:val="26231D"/>
          <w:sz w:val="22"/>
        </w:rPr>
        <w:t>El negocio tiene un problema de huevo y la gallina propio de cualquier marketplace de dos lados: las plazas no tienen razón para unirse sin usuarios buscando, y los usuarios no tienen razón para volver sin suficientes plazas cargadas. Este documento explica cómo se resuelve separando el producto en dos capas — una capa de inteligencia que no depende de que las plazas participen, y una capa transaccional que sí — y describe el plan de monetización por etapas que se deriva de esa separación.</w:t>
      </w:r>
    </w:p>
    <w:p>
      <w:pPr>
        <w:spacing w:after="160"/>
      </w:pPr>
      <w:r>
        <w:rPr>
          <w:i w:val="0"/>
          <w:color w:val="26231D"/>
          <w:sz w:val="22"/>
        </w:rPr>
        <w:t>Hoy existe un prototipo funcional con 25 plazas reales de Panamá mapeadas, con el motor de recomendación, el mapa y el panel de administrador de plaza ya operando. Los datos de negocios, locales y precios que usa el prototipo son ilustrativos; el mapeo real de tenant mix es el siguiente paso de validación.</w:t>
      </w:r>
    </w:p>
    <w:p>
      <w:pPr>
        <w:spacing w:before="520" w:after="80"/>
        <w:pBdr>
          <w:bottom w:val="single" w:sz="6" w:space="6" w:color="E4DCCB"/>
        </w:pBdr>
      </w:pPr>
      <w:r>
        <w:rPr>
          <w:rFonts w:ascii="Georgia" w:hAnsi="Georgia"/>
          <w:b/>
          <w:color w:val="C22E4E"/>
          <w:sz w:val="32"/>
        </w:rPr>
        <w:t xml:space="preserve">2.  </w:t>
      </w:r>
      <w:r>
        <w:rPr>
          <w:rFonts w:ascii="Georgia" w:hAnsi="Georgia"/>
          <w:b/>
          <w:color w:val="26231D"/>
          <w:sz w:val="32"/>
        </w:rPr>
        <w:t>El problema</w:t>
      </w:r>
    </w:p>
    <w:p>
      <w:pPr>
        <w:spacing w:after="160"/>
      </w:pPr>
      <w:r>
        <w:rPr>
          <w:i w:val="0"/>
          <w:color w:val="26231D"/>
          <w:sz w:val="22"/>
        </w:rPr>
        <w:t>Elegir dónde abrir un negocio en Panamá depende hoy de información fragmentada e intuición, no de datos:</w:t>
      </w:r>
    </w:p>
    <w:p>
      <w:pPr>
        <w:pStyle w:val="ListBullet"/>
        <w:spacing w:after="80"/>
      </w:pPr>
      <w:r>
        <w:rPr>
          <w:sz w:val="22"/>
        </w:rPr>
        <w:t>Los portales inmobiliarios muestran el local vacío, pero no dicen nada del negocio que lo rodea: quién más opera en esa plaza, si hay competencia directa, o si hay algo que atraiga al tipo de cliente que se busca.</w:t>
      </w:r>
    </w:p>
    <w:p>
      <w:pPr>
        <w:pStyle w:val="ListBullet"/>
        <w:spacing w:after="80"/>
      </w:pPr>
      <w:r>
        <w:rPr>
          <w:sz w:val="22"/>
        </w:rPr>
        <w:t>Emprendedores y hasta cadenas eligen ubicación por corazonada, recomendación de un conocido, o el primer letrero de "SE ALQUILA" que encuentran — sin comparar sistemáticamente las alternativas.</w:t>
      </w:r>
    </w:p>
    <w:p>
      <w:pPr>
        <w:pStyle w:val="ListBullet"/>
        <w:spacing w:after="80"/>
      </w:pPr>
      <w:r>
        <w:rPr>
          <w:sz w:val="22"/>
        </w:rPr>
        <w:t>Los administradores de plaza no siempre saben qué tipo de negocio le falta a su mezcla para atraer más tráfico: publican el espacio disponible, no una estrategia de qué negocio deberían buscar para llenarlo.</w:t>
      </w:r>
    </w:p>
    <w:p>
      <w:pPr>
        <w:spacing w:after="160"/>
      </w:pPr>
      <w:r>
        <w:rPr>
          <w:i w:val="0"/>
          <w:color w:val="26231D"/>
          <w:sz w:val="22"/>
        </w:rPr>
        <w:t>Ningún actor existente resuelve esto de forma sistemática: los portales muestran inventario sin contexto, y Google Maps deja ver qué hay alrededor pero no lo convierte en una recomendación accionable.</w:t>
      </w:r>
    </w:p>
    <w:p>
      <w:pPr>
        <w:spacing w:before="520" w:after="80"/>
        <w:pBdr>
          <w:bottom w:val="single" w:sz="6" w:space="6" w:color="E4DCCB"/>
        </w:pBdr>
      </w:pPr>
      <w:r>
        <w:rPr>
          <w:rFonts w:ascii="Georgia" w:hAnsi="Georgia"/>
          <w:b/>
          <w:color w:val="C22E4E"/>
          <w:sz w:val="32"/>
        </w:rPr>
        <w:t xml:space="preserve">3.  </w:t>
      </w:r>
      <w:r>
        <w:rPr>
          <w:rFonts w:ascii="Georgia" w:hAnsi="Georgia"/>
          <w:b/>
          <w:color w:val="26231D"/>
          <w:sz w:val="32"/>
        </w:rPr>
        <w:t>La solución</w:t>
      </w:r>
    </w:p>
    <w:p>
      <w:pPr>
        <w:spacing w:after="160"/>
      </w:pPr>
      <w:r>
        <w:rPr>
          <w:i w:val="0"/>
          <w:color w:val="26231D"/>
          <w:sz w:val="22"/>
        </w:rPr>
        <w:t>Plaza Marketplace responde una pregunta distinta a la que responde un portal inmobiliario: no "¿qué locales hay disponibles?", sino "¿en qué plaza me conviene abrir?".</w:t>
      </w:r>
    </w:p>
    <w:p>
      <w:pPr>
        <w:spacing w:before="280" w:after="60"/>
      </w:pPr>
      <w:r>
        <w:rPr>
          <w:b/>
          <w:color w:val="26231D"/>
          <w:sz w:val="25"/>
        </w:rPr>
        <w:t>El ejemplo que resume el producto</w:t>
      </w:r>
    </w:p>
    <w:p>
      <w:pPr>
        <w:spacing w:after="160"/>
      </w:pPr>
      <w:r>
        <w:rPr>
          <w:i w:val="0"/>
          <w:color w:val="26231D"/>
          <w:sz w:val="22"/>
        </w:rPr>
        <w:t>Alguien quiere abrir una farmacia. La plataforma revisa las plazas mapeadas y prioriza las que tienen un supermercado (que ya atrae clientes) y que todavía no tienen una farmacia — y muestra como no recomendadas las que ya tienen un competidor directo. La recomendación llega acompañada de las razones concretas detrás del puntaje, no solo un número.</w:t>
      </w:r>
    </w:p>
    <w:p>
      <w:pPr>
        <w:spacing w:after="160"/>
      </w:pPr>
      <w:r>
        <w:rPr>
          <w:i w:val="0"/>
          <w:color w:val="26231D"/>
          <w:sz w:val="22"/>
        </w:rPr>
        <w:t>El producto no vende únicamente espacios comerciales: entrega la información estratégica para decidir bien, y solo después conecta con la plaza para gestionar el local.</w:t>
      </w:r>
    </w:p>
    <w:p>
      <w:pPr>
        <w:spacing w:before="520" w:after="80"/>
        <w:pBdr>
          <w:bottom w:val="single" w:sz="6" w:space="6" w:color="E4DCCB"/>
        </w:pBdr>
      </w:pPr>
      <w:r>
        <w:rPr>
          <w:rFonts w:ascii="Georgia" w:hAnsi="Georgia"/>
          <w:b/>
          <w:color w:val="C22E4E"/>
          <w:sz w:val="32"/>
        </w:rPr>
        <w:t xml:space="preserve">4.  </w:t>
      </w:r>
      <w:r>
        <w:rPr>
          <w:rFonts w:ascii="Georgia" w:hAnsi="Georgia"/>
          <w:b/>
          <w:color w:val="26231D"/>
          <w:sz w:val="32"/>
        </w:rPr>
        <w:t>El producto</w:t>
      </w:r>
    </w:p>
    <w:p>
      <w:pPr>
        <w:spacing w:after="160"/>
      </w:pPr>
      <w:r>
        <w:rPr>
          <w:i w:val="0"/>
          <w:color w:val="26231D"/>
          <w:sz w:val="22"/>
        </w:rPr>
        <w:t>La plataforma se organiza en cuatro secciones sobre una misma base de datos:</w:t>
      </w:r>
    </w:p>
    <w:p>
      <w:pPr>
        <w:pStyle w:val="ListBullet"/>
        <w:spacing w:after="80"/>
      </w:pPr>
      <w:r>
        <w:rPr>
          <w:b/>
        </w:rPr>
        <w:t xml:space="preserve">Evaluación guiada — </w:t>
      </w:r>
      <w:r>
        <w:rPr>
          <w:sz w:val="22"/>
        </w:rPr>
        <w:t>Toma cada negocio que ya opera en una plaza y lo cruza contra el rubro que alguien quiere abrir, para saber si le conviene esa plaza.</w:t>
      </w:r>
    </w:p>
    <w:p>
      <w:pPr>
        <w:pStyle w:val="ListBullet"/>
        <w:spacing w:after="80"/>
      </w:pPr>
      <w:r>
        <w:rPr>
          <w:b/>
        </w:rPr>
        <w:t xml:space="preserve">Mapa — </w:t>
      </w:r>
      <w:r>
        <w:rPr>
          <w:sz w:val="22"/>
        </w:rPr>
        <w:t>Muestra las plazas de la ciudad organizadas por zona, con el carácter del área (residencial, oficinas, mixta), poder adquisitivo y negocios ya instalados — el catálogo que da contexto.</w:t>
      </w:r>
    </w:p>
    <w:p>
      <w:pPr>
        <w:pStyle w:val="ListBullet"/>
        <w:spacing w:after="80"/>
      </w:pPr>
      <w:r>
        <w:rPr>
          <w:b/>
        </w:rPr>
        <w:t xml:space="preserve">Oportunidades — </w:t>
      </w:r>
      <w:r>
        <w:rPr>
          <w:sz w:val="22"/>
        </w:rPr>
        <w:t>Permite elegir un tipo de negocio y ver, para todas las plazas a la vez, dónde hay tráfico asegurado y todavía no hay competencia directa.</w:t>
      </w:r>
    </w:p>
    <w:p>
      <w:pPr>
        <w:pStyle w:val="ListBullet"/>
        <w:spacing w:after="80"/>
      </w:pPr>
      <w:r>
        <w:rPr>
          <w:b/>
        </w:rPr>
        <w:t xml:space="preserve">Panel de plaza — </w:t>
      </w:r>
      <w:r>
        <w:rPr>
          <w:sz w:val="22"/>
        </w:rPr>
        <w:t>Vista para el administrador de una plaza: sus solicitudes recibidas y qué categoría de negocio le falta a su mezcla, con la demanda real que otras búsquedas ya revelaron.</w:t>
      </w:r>
    </w:p>
    <w:p>
      <w:pPr>
        <w:spacing w:before="280" w:after="60"/>
      </w:pPr>
      <w:r>
        <w:rPr>
          <w:b/>
          <w:color w:val="26231D"/>
          <w:sz w:val="25"/>
        </w:rPr>
        <w:t>Las dimensiones del análisis</w:t>
      </w:r>
    </w:p>
    <w:p>
      <w:pPr>
        <w:spacing w:after="160"/>
      </w:pPr>
      <w:r>
        <w:rPr>
          <w:i w:val="0"/>
          <w:color w:val="26231D"/>
          <w:sz w:val="22"/>
        </w:rPr>
        <w:t>El motor de recomendación cruza el rubro del negocio contra ocho dimensiones de cada plaza y su entorno:</w:t>
      </w:r>
    </w:p>
    <w:tbl>
      <w:tblPr>
        <w:tblW w:type="auto" w:w="0"/>
        <w:jc w:val="center"/>
        <w:tblLayout w:type="autofit"/>
        <w:tblLook w:firstColumn="1" w:firstRow="1" w:lastColumn="0" w:lastRow="0" w:noHBand="0" w:noVBand="1" w:val="04A0"/>
      </w:tblPr>
      <w:tblGrid>
        <w:gridCol w:w="4759"/>
        <w:gridCol w:w="4759"/>
      </w:tblGrid>
      <w:tr>
        <w:tc>
          <w:tcPr>
            <w:tcW w:type="dxa" w:w="2880"/>
            <w:shd w:val="clear" w:color="auto" w:fill="26231D"/>
          </w:tcPr>
          <w:p>
            <w:r/>
            <w:r>
              <w:rPr>
                <w:b/>
                <w:color w:val="FFFFFF"/>
                <w:sz w:val="19"/>
              </w:rPr>
              <w:t>Dimensión</w:t>
            </w:r>
          </w:p>
        </w:tc>
        <w:tc>
          <w:tcPr>
            <w:tcW w:type="dxa" w:w="6624"/>
            <w:shd w:val="clear" w:color="auto" w:fill="26231D"/>
          </w:tcPr>
          <w:p>
            <w:r/>
            <w:r>
              <w:rPr>
                <w:b/>
                <w:color w:val="FFFFFF"/>
                <w:sz w:val="19"/>
              </w:rPr>
              <w:t>Qué mide</w:t>
            </w:r>
          </w:p>
        </w:tc>
      </w:tr>
      <w:tr>
        <w:tc>
          <w:tcPr>
            <w:tcW w:type="dxa" w:w="2880"/>
            <w:shd w:val="clear" w:color="auto" w:fill="FAF6EE"/>
          </w:tcPr>
          <w:p>
            <w:r/>
            <w:r>
              <w:rPr>
                <w:sz w:val="19"/>
              </w:rPr>
              <w:t>Anclas de tráfico</w:t>
            </w:r>
          </w:p>
        </w:tc>
        <w:tc>
          <w:tcPr>
            <w:tcW w:type="dxa" w:w="6624"/>
            <w:shd w:val="clear" w:color="auto" w:fill="FAF6EE"/>
          </w:tcPr>
          <w:p>
            <w:r/>
            <w:r>
              <w:rPr>
                <w:sz w:val="19"/>
              </w:rPr>
              <w:t>Si hay un supermercado, banco o gimnasio que le atraiga clientes al rubro</w:t>
            </w:r>
          </w:p>
        </w:tc>
      </w:tr>
      <w:tr>
        <w:tc>
          <w:tcPr>
            <w:tcW w:type="dxa" w:w="2880"/>
            <w:shd w:val="clear" w:color="auto" w:fill="FAF6EE"/>
          </w:tcPr>
          <w:p>
            <w:r/>
            <w:r>
              <w:rPr>
                <w:sz w:val="19"/>
              </w:rPr>
              <w:t>Competencia interna</w:t>
            </w:r>
          </w:p>
        </w:tc>
        <w:tc>
          <w:tcPr>
            <w:tcW w:type="dxa" w:w="6624"/>
            <w:shd w:val="clear" w:color="auto" w:fill="FAF6EE"/>
          </w:tcPr>
          <w:p>
            <w:r/>
            <w:r>
              <w:rPr>
                <w:sz w:val="19"/>
              </w:rPr>
              <w:t>Si ya opera un negocio del mismo rubro dentro de la misma plaza</w:t>
            </w:r>
          </w:p>
        </w:tc>
      </w:tr>
      <w:tr>
        <w:tc>
          <w:tcPr>
            <w:tcW w:type="dxa" w:w="2880"/>
            <w:shd w:val="clear" w:color="auto" w:fill="FAF6EE"/>
          </w:tcPr>
          <w:p>
            <w:r/>
            <w:r>
              <w:rPr>
                <w:sz w:val="19"/>
              </w:rPr>
              <w:t>Radio de influencia</w:t>
            </w:r>
          </w:p>
        </w:tc>
        <w:tc>
          <w:tcPr>
            <w:tcW w:type="dxa" w:w="6624"/>
            <w:shd w:val="clear" w:color="auto" w:fill="FAF6EE"/>
          </w:tcPr>
          <w:p>
            <w:r/>
            <w:r>
              <w:rPr>
                <w:sz w:val="19"/>
              </w:rPr>
              <w:t>Competencia y anclas en las zonas vecinas, no solo dentro de la plaza</w:t>
            </w:r>
          </w:p>
        </w:tc>
      </w:tr>
      <w:tr>
        <w:tc>
          <w:tcPr>
            <w:tcW w:type="dxa" w:w="2880"/>
            <w:shd w:val="clear" w:color="auto" w:fill="FAF6EE"/>
          </w:tcPr>
          <w:p>
            <w:r/>
            <w:r>
              <w:rPr>
                <w:sz w:val="19"/>
              </w:rPr>
              <w:t>Carácter del área</w:t>
            </w:r>
          </w:p>
        </w:tc>
        <w:tc>
          <w:tcPr>
            <w:tcW w:type="dxa" w:w="6624"/>
            <w:shd w:val="clear" w:color="auto" w:fill="FAF6EE"/>
          </w:tcPr>
          <w:p>
            <w:r/>
            <w:r>
              <w:rPr>
                <w:sz w:val="19"/>
              </w:rPr>
              <w:t>Si la zona es residencial, de oficinas o mixta</w:t>
            </w:r>
          </w:p>
        </w:tc>
      </w:tr>
      <w:tr>
        <w:tc>
          <w:tcPr>
            <w:tcW w:type="dxa" w:w="2880"/>
            <w:shd w:val="clear" w:color="auto" w:fill="FAF6EE"/>
          </w:tcPr>
          <w:p>
            <w:r/>
            <w:r>
              <w:rPr>
                <w:sz w:val="19"/>
              </w:rPr>
              <w:t>Poder adquisitivo</w:t>
            </w:r>
          </w:p>
        </w:tc>
        <w:tc>
          <w:tcPr>
            <w:tcW w:type="dxa" w:w="6624"/>
            <w:shd w:val="clear" w:color="auto" w:fill="FAF6EE"/>
          </w:tcPr>
          <w:p>
            <w:r/>
            <w:r>
              <w:rPr>
                <w:sz w:val="19"/>
              </w:rPr>
              <w:t>Nivel de ingreso de la zona donde está la plaza</w:t>
            </w:r>
          </w:p>
        </w:tc>
      </w:tr>
      <w:tr>
        <w:tc>
          <w:tcPr>
            <w:tcW w:type="dxa" w:w="2880"/>
            <w:shd w:val="clear" w:color="auto" w:fill="FAF6EE"/>
          </w:tcPr>
          <w:p>
            <w:r/>
            <w:r>
              <w:rPr>
                <w:sz w:val="19"/>
              </w:rPr>
              <w:t>Crecimiento proyectado</w:t>
            </w:r>
          </w:p>
        </w:tc>
        <w:tc>
          <w:tcPr>
            <w:tcW w:type="dxa" w:w="6624"/>
            <w:shd w:val="clear" w:color="auto" w:fill="FAF6EE"/>
          </w:tcPr>
          <w:p>
            <w:r/>
            <w:r>
              <w:rPr>
                <w:sz w:val="19"/>
              </w:rPr>
              <w:t>Si la zona está en expansión o ya consolidada</w:t>
            </w:r>
          </w:p>
        </w:tc>
      </w:tr>
      <w:tr>
        <w:tc>
          <w:tcPr>
            <w:tcW w:type="dxa" w:w="2880"/>
            <w:shd w:val="clear" w:color="auto" w:fill="FAF6EE"/>
          </w:tcPr>
          <w:p>
            <w:r/>
            <w:r>
              <w:rPr>
                <w:sz w:val="19"/>
              </w:rPr>
              <w:t>Visibilidad</w:t>
            </w:r>
          </w:p>
        </w:tc>
        <w:tc>
          <w:tcPr>
            <w:tcW w:type="dxa" w:w="6624"/>
            <w:shd w:val="clear" w:color="auto" w:fill="FAF6EE"/>
          </w:tcPr>
          <w:p>
            <w:r/>
            <w:r>
              <w:rPr>
                <w:sz w:val="19"/>
              </w:rPr>
              <w:t>Qué tan visible es la plaza desde la calle</w:t>
            </w:r>
          </w:p>
        </w:tc>
      </w:tr>
      <w:tr>
        <w:tc>
          <w:tcPr>
            <w:tcW w:type="dxa" w:w="2880"/>
            <w:shd w:val="clear" w:color="auto" w:fill="FAF6EE"/>
          </w:tcPr>
          <w:p>
            <w:r/>
            <w:r>
              <w:rPr>
                <w:sz w:val="19"/>
              </w:rPr>
              <w:t>Vacancia</w:t>
            </w:r>
          </w:p>
        </w:tc>
        <w:tc>
          <w:tcPr>
            <w:tcW w:type="dxa" w:w="6624"/>
            <w:shd w:val="clear" w:color="auto" w:fill="FAF6EE"/>
          </w:tcPr>
          <w:p>
            <w:r/>
            <w:r>
              <w:rPr>
                <w:sz w:val="19"/>
              </w:rPr>
              <w:t>Cuántos locales están vacíos — señal de salud del centro comercial</w:t>
            </w:r>
          </w:p>
        </w:tc>
      </w:tr>
    </w:tbl>
    <w:p>
      <w:pPr>
        <w:spacing w:after="120"/>
      </w:pPr>
    </w:p>
    <w:p>
      <w:pPr>
        <w:spacing w:before="80" w:after="200"/>
      </w:pPr>
      <w:r>
        <w:rPr>
          <w:i/>
          <w:color w:val="7A7168"/>
          <w:sz w:val="19"/>
        </w:rPr>
        <w:t>Mantener esta base actualizada es trabajo de campo constante. Es, a la vez, el costo operativo más alto del negocio y su principal barrera de entrada frente a quien quisiera copiarlo rápido.</w:t>
      </w:r>
    </w:p>
    <w:p>
      <w:pPr>
        <w:spacing w:before="520" w:after="80"/>
        <w:pBdr>
          <w:bottom w:val="single" w:sz="6" w:space="6" w:color="E4DCCB"/>
        </w:pBdr>
      </w:pPr>
      <w:r>
        <w:rPr>
          <w:rFonts w:ascii="Georgia" w:hAnsi="Georgia"/>
          <w:b/>
          <w:color w:val="C22E4E"/>
          <w:sz w:val="32"/>
        </w:rPr>
        <w:t xml:space="preserve">5.  </w:t>
      </w:r>
      <w:r>
        <w:rPr>
          <w:rFonts w:ascii="Georgia" w:hAnsi="Georgia"/>
          <w:b/>
          <w:color w:val="26231D"/>
          <w:sz w:val="32"/>
        </w:rPr>
        <w:t>El problema del huevo y la gallina, y cómo se resuelve</w:t>
      </w:r>
    </w:p>
    <w:p>
      <w:pPr>
        <w:spacing w:after="160"/>
      </w:pPr>
      <w:r>
        <w:rPr>
          <w:i w:val="0"/>
          <w:color w:val="26231D"/>
          <w:sz w:val="22"/>
        </w:rPr>
        <w:t>Como todo marketplace de dos lados, el reto central no es el producto sino la secuencia: las plazas no tienen razón para invertir tiempo en la plataforma sin usuarios buscando, y los usuarios no vuelven si no hay suficientes plazas cargadas con información confiable.</w:t>
      </w:r>
    </w:p>
    <w:p>
      <w:pPr>
        <w:spacing w:after="160"/>
      </w:pPr>
      <w:r>
        <w:rPr>
          <w:i w:val="0"/>
          <w:color w:val="26231D"/>
          <w:sz w:val="22"/>
        </w:rPr>
        <w:t>La salida no es resolver los dos lados a la vez. Es notar que el producto en realidad tiene dos capas distintas, con dependencias diferentes:</w:t>
      </w:r>
    </w:p>
    <w:p>
      <w:pPr>
        <w:spacing w:before="280" w:after="60"/>
      </w:pPr>
      <w:r>
        <w:rPr>
          <w:b/>
          <w:color w:val="26231D"/>
          <w:sz w:val="25"/>
        </w:rPr>
        <w:t>Capa 1 — La inteligencia de ubicación</w:t>
      </w:r>
    </w:p>
    <w:p>
      <w:pPr>
        <w:spacing w:after="160"/>
      </w:pPr>
      <w:r>
        <w:rPr>
          <w:i w:val="0"/>
          <w:color w:val="26231D"/>
          <w:sz w:val="22"/>
        </w:rPr>
        <w:t>El mapa, el tenant mix y el motor de recomendación no requieren que ninguna plaza se registre ni dé permiso. Se pueden construir con trabajo de campo propio: visitas, Google Maps, observación directa — exactamente como se hizo para el prototipo actual. Esta capa puede generar valor, uso y hasta ingreso desde el primer día, sin haber resuelto el lado de la oferta.</w:t>
      </w:r>
    </w:p>
    <w:p>
      <w:pPr>
        <w:spacing w:before="280" w:after="60"/>
      </w:pPr>
      <w:r>
        <w:rPr>
          <w:b/>
          <w:color w:val="26231D"/>
          <w:sz w:val="25"/>
        </w:rPr>
        <w:t>Capa 2 — Los locales publicados y el manejo de leads</w:t>
      </w:r>
    </w:p>
    <w:p>
      <w:pPr>
        <w:spacing w:after="160"/>
      </w:pPr>
      <w:r>
        <w:rPr>
          <w:i w:val="0"/>
          <w:color w:val="26231D"/>
          <w:sz w:val="22"/>
        </w:rPr>
        <w:t>Esta capa sí depende de que la plaza participe: que publique sus vacantes, reciba solicitudes y responda. Es la parte transaccional del negocio, y es la que normalmente se intenta resolver primero — por eso el huevo y la gallina se siente imposible.</w:t>
      </w:r>
    </w:p>
    <w:p>
      <w:pPr>
        <w:spacing w:after="160"/>
      </w:pPr>
      <w:r>
        <w:rPr>
          <w:i w:val="0"/>
          <w:color w:val="26231D"/>
          <w:sz w:val="22"/>
        </w:rPr>
        <w:t>La estrategia es monetizar y validar la Capa 1 primero, sin depender de que ninguna plaza haya dicho que sí, y usar esa evidencia de demanda real (qué se busca, dónde, con qué presupuesto) como el argumento de venta para conseguir las primeras plazas de la Capa 2. El orden importa: se vende con datos, no con una promesa.</w:t>
      </w:r>
    </w:p>
    <w:p>
      <w:pPr>
        <w:spacing w:before="520" w:after="80"/>
        <w:pBdr>
          <w:bottom w:val="single" w:sz="6" w:space="6" w:color="E4DCCB"/>
        </w:pBdr>
      </w:pPr>
      <w:r>
        <w:rPr>
          <w:rFonts w:ascii="Georgia" w:hAnsi="Georgia"/>
          <w:b/>
          <w:color w:val="C22E4E"/>
          <w:sz w:val="32"/>
        </w:rPr>
        <w:t xml:space="preserve">6.  </w:t>
      </w:r>
      <w:r>
        <w:rPr>
          <w:rFonts w:ascii="Georgia" w:hAnsi="Georgia"/>
          <w:b/>
          <w:color w:val="26231D"/>
          <w:sz w:val="32"/>
        </w:rPr>
        <w:t>Modelo de negocio: plan de monetización por etapas</w:t>
      </w:r>
    </w:p>
    <w:p>
      <w:pPr>
        <w:spacing w:after="160"/>
      </w:pPr>
      <w:r>
        <w:rPr>
          <w:i w:val="0"/>
          <w:color w:val="26231D"/>
          <w:sz w:val="22"/>
        </w:rPr>
        <w:t>Esta sección lista las formas de generar ingreso disponibles y, más importante, el orden en que se activan según en qué etapa está la resolución del huevo y la gallina.</w:t>
      </w:r>
    </w:p>
    <w:p>
      <w:pPr>
        <w:spacing w:before="280" w:after="60"/>
      </w:pPr>
      <w:r>
        <w:rPr>
          <w:b/>
          <w:color w:val="26231D"/>
          <w:sz w:val="25"/>
        </w:rPr>
        <w:t>6.1 — Opciones de ingreso</w:t>
      </w:r>
    </w:p>
    <w:tbl>
      <w:tblPr>
        <w:tblW w:type="auto" w:w="0"/>
        <w:jc w:val="center"/>
        <w:tblLayout w:type="autofit"/>
        <w:tblLook w:firstColumn="1" w:firstRow="1" w:lastColumn="0" w:lastRow="0" w:noHBand="0" w:noVBand="1" w:val="04A0"/>
      </w:tblPr>
      <w:tblGrid>
        <w:gridCol w:w="3173"/>
        <w:gridCol w:w="3173"/>
        <w:gridCol w:w="3173"/>
      </w:tblGrid>
      <w:tr>
        <w:tc>
          <w:tcPr>
            <w:tcW w:type="dxa" w:w="2448"/>
            <w:shd w:val="clear" w:color="auto" w:fill="26231D"/>
          </w:tcPr>
          <w:p>
            <w:r/>
            <w:r>
              <w:rPr>
                <w:b/>
                <w:color w:val="FFFFFF"/>
                <w:sz w:val="19"/>
              </w:rPr>
              <w:t>Opción</w:t>
            </w:r>
          </w:p>
        </w:tc>
        <w:tc>
          <w:tcPr>
            <w:tcW w:type="dxa" w:w="2448"/>
            <w:shd w:val="clear" w:color="auto" w:fill="26231D"/>
          </w:tcPr>
          <w:p>
            <w:r/>
            <w:r>
              <w:rPr>
                <w:b/>
                <w:color w:val="FFFFFF"/>
                <w:sz w:val="19"/>
              </w:rPr>
              <w:t>A quién</w:t>
            </w:r>
          </w:p>
        </w:tc>
        <w:tc>
          <w:tcPr>
            <w:tcW w:type="dxa" w:w="4608"/>
            <w:shd w:val="clear" w:color="auto" w:fill="26231D"/>
          </w:tcPr>
          <w:p>
            <w:r/>
            <w:r>
              <w:rPr>
                <w:b/>
                <w:color w:val="FFFFFF"/>
                <w:sz w:val="19"/>
              </w:rPr>
              <w:t>Cómo funciona</w:t>
            </w:r>
          </w:p>
        </w:tc>
      </w:tr>
      <w:tr>
        <w:tc>
          <w:tcPr>
            <w:tcW w:type="dxa" w:w="2448"/>
            <w:shd w:val="clear" w:color="auto" w:fill="FAF6EE"/>
          </w:tcPr>
          <w:p>
            <w:r/>
            <w:r>
              <w:rPr>
                <w:sz w:val="19"/>
              </w:rPr>
              <w:t>Comisión de corretaje</w:t>
            </w:r>
          </w:p>
        </w:tc>
        <w:tc>
          <w:tcPr>
            <w:tcW w:type="dxa" w:w="2448"/>
            <w:shd w:val="clear" w:color="auto" w:fill="FAF6EE"/>
          </w:tcPr>
          <w:p>
            <w:r/>
            <w:r>
              <w:rPr>
                <w:sz w:val="19"/>
              </w:rPr>
              <w:t>Plazas</w:t>
            </w:r>
          </w:p>
        </w:tc>
        <w:tc>
          <w:tcPr>
            <w:tcW w:type="dxa" w:w="4608"/>
            <w:shd w:val="clear" w:color="auto" w:fill="FAF6EE"/>
          </w:tcPr>
          <w:p>
            <w:r/>
            <w:r>
              <w:rPr>
                <w:sz w:val="19"/>
              </w:rPr>
              <w:t>% o un mes de renta cuando un contrato se cierra por un lead de la plataforma</w:t>
            </w:r>
          </w:p>
        </w:tc>
      </w:tr>
      <w:tr>
        <w:tc>
          <w:tcPr>
            <w:tcW w:type="dxa" w:w="2448"/>
            <w:shd w:val="clear" w:color="auto" w:fill="FAF6EE"/>
          </w:tcPr>
          <w:p>
            <w:r/>
            <w:r>
              <w:rPr>
                <w:sz w:val="19"/>
              </w:rPr>
              <w:t>Suscripción de plaza</w:t>
            </w:r>
          </w:p>
        </w:tc>
        <w:tc>
          <w:tcPr>
            <w:tcW w:type="dxa" w:w="2448"/>
            <w:shd w:val="clear" w:color="auto" w:fill="FAF6EE"/>
          </w:tcPr>
          <w:p>
            <w:r/>
            <w:r>
              <w:rPr>
                <w:sz w:val="19"/>
              </w:rPr>
              <w:t>Plazas</w:t>
            </w:r>
          </w:p>
        </w:tc>
        <w:tc>
          <w:tcPr>
            <w:tcW w:type="dxa" w:w="4608"/>
            <w:shd w:val="clear" w:color="auto" w:fill="FAF6EE"/>
          </w:tcPr>
          <w:p>
            <w:r/>
            <w:r>
              <w:rPr>
                <w:sz w:val="19"/>
              </w:rPr>
              <w:t>Pago fijo mensual/anual por estar publicada, recibir leads y usar el panel de administrador</w:t>
            </w:r>
          </w:p>
        </w:tc>
      </w:tr>
      <w:tr>
        <w:tc>
          <w:tcPr>
            <w:tcW w:type="dxa" w:w="2448"/>
            <w:shd w:val="clear" w:color="auto" w:fill="FAF6EE"/>
          </w:tcPr>
          <w:p>
            <w:r/>
            <w:r>
              <w:rPr>
                <w:sz w:val="19"/>
              </w:rPr>
              <w:t>Pago por lead</w:t>
            </w:r>
          </w:p>
        </w:tc>
        <w:tc>
          <w:tcPr>
            <w:tcW w:type="dxa" w:w="2448"/>
            <w:shd w:val="clear" w:color="auto" w:fill="FAF6EE"/>
          </w:tcPr>
          <w:p>
            <w:r/>
            <w:r>
              <w:rPr>
                <w:sz w:val="19"/>
              </w:rPr>
              <w:t>Plazas</w:t>
            </w:r>
          </w:p>
        </w:tc>
        <w:tc>
          <w:tcPr>
            <w:tcW w:type="dxa" w:w="4608"/>
            <w:shd w:val="clear" w:color="auto" w:fill="FAF6EE"/>
          </w:tcPr>
          <w:p>
            <w:r/>
            <w:r>
              <w:rPr>
                <w:sz w:val="19"/>
              </w:rPr>
              <w:t>Cobro por cada solicitud calificada entregada, o paquete de N leads al mes</w:t>
            </w:r>
          </w:p>
        </w:tc>
      </w:tr>
      <w:tr>
        <w:tc>
          <w:tcPr>
            <w:tcW w:type="dxa" w:w="2448"/>
            <w:shd w:val="clear" w:color="auto" w:fill="FAF6EE"/>
          </w:tcPr>
          <w:p>
            <w:r/>
            <w:r>
              <w:rPr>
                <w:sz w:val="19"/>
              </w:rPr>
              <w:t>Listado destacado</w:t>
            </w:r>
          </w:p>
        </w:tc>
        <w:tc>
          <w:tcPr>
            <w:tcW w:type="dxa" w:w="2448"/>
            <w:shd w:val="clear" w:color="auto" w:fill="FAF6EE"/>
          </w:tcPr>
          <w:p>
            <w:r/>
            <w:r>
              <w:rPr>
                <w:sz w:val="19"/>
              </w:rPr>
              <w:t>Plazas</w:t>
            </w:r>
          </w:p>
        </w:tc>
        <w:tc>
          <w:tcPr>
            <w:tcW w:type="dxa" w:w="4608"/>
            <w:shd w:val="clear" w:color="auto" w:fill="FAF6EE"/>
          </w:tcPr>
          <w:p>
            <w:r/>
            <w:r>
              <w:rPr>
                <w:sz w:val="19"/>
              </w:rPr>
              <w:t>Pago extra por aparecer primero en resultados o con insignia verificada</w:t>
            </w:r>
          </w:p>
        </w:tc>
      </w:tr>
      <w:tr>
        <w:tc>
          <w:tcPr>
            <w:tcW w:type="dxa" w:w="2448"/>
            <w:shd w:val="clear" w:color="auto" w:fill="FAF6EE"/>
          </w:tcPr>
          <w:p>
            <w:r/>
            <w:r>
              <w:rPr>
                <w:sz w:val="19"/>
              </w:rPr>
              <w:t>Fee de setup</w:t>
            </w:r>
          </w:p>
        </w:tc>
        <w:tc>
          <w:tcPr>
            <w:tcW w:type="dxa" w:w="2448"/>
            <w:shd w:val="clear" w:color="auto" w:fill="FAF6EE"/>
          </w:tcPr>
          <w:p>
            <w:r/>
            <w:r>
              <w:rPr>
                <w:sz w:val="19"/>
              </w:rPr>
              <w:t>Plazas</w:t>
            </w:r>
          </w:p>
        </w:tc>
        <w:tc>
          <w:tcPr>
            <w:tcW w:type="dxa" w:w="4608"/>
            <w:shd w:val="clear" w:color="auto" w:fill="FAF6EE"/>
          </w:tcPr>
          <w:p>
            <w:r/>
            <w:r>
              <w:rPr>
                <w:sz w:val="19"/>
              </w:rPr>
              <w:t>Cobro único por construir el perfil de la plaza (fotos, tenant mix verificado)</w:t>
            </w:r>
          </w:p>
        </w:tc>
      </w:tr>
      <w:tr>
        <w:tc>
          <w:tcPr>
            <w:tcW w:type="dxa" w:w="2448"/>
            <w:shd w:val="clear" w:color="auto" w:fill="FAF6EE"/>
          </w:tcPr>
          <w:p>
            <w:r/>
            <w:r>
              <w:rPr>
                <w:sz w:val="19"/>
              </w:rPr>
              <w:t>Freemium / informe pagado</w:t>
            </w:r>
          </w:p>
        </w:tc>
        <w:tc>
          <w:tcPr>
            <w:tcW w:type="dxa" w:w="2448"/>
            <w:shd w:val="clear" w:color="auto" w:fill="FAF6EE"/>
          </w:tcPr>
          <w:p>
            <w:r/>
            <w:r>
              <w:rPr>
                <w:sz w:val="19"/>
              </w:rPr>
              <w:t>Buscadores de local</w:t>
            </w:r>
          </w:p>
        </w:tc>
        <w:tc>
          <w:tcPr>
            <w:tcW w:type="dxa" w:w="4608"/>
            <w:shd w:val="clear" w:color="auto" w:fill="FAF6EE"/>
          </w:tcPr>
          <w:p>
            <w:r/>
            <w:r>
              <w:rPr>
                <w:sz w:val="19"/>
              </w:rPr>
              <w:t>Evaluación básica gratuita; informe detallado (comparativas, benchmarks de zona) de pago</w:t>
            </w:r>
          </w:p>
        </w:tc>
      </w:tr>
      <w:tr>
        <w:tc>
          <w:tcPr>
            <w:tcW w:type="dxa" w:w="2448"/>
            <w:shd w:val="clear" w:color="auto" w:fill="FAF6EE"/>
          </w:tcPr>
          <w:p>
            <w:r/>
            <w:r>
              <w:rPr>
                <w:sz w:val="19"/>
              </w:rPr>
              <w:t>Suscripción de buscador</w:t>
            </w:r>
          </w:p>
        </w:tc>
        <w:tc>
          <w:tcPr>
            <w:tcW w:type="dxa" w:w="2448"/>
            <w:shd w:val="clear" w:color="auto" w:fill="FAF6EE"/>
          </w:tcPr>
          <w:p>
            <w:r/>
            <w:r>
              <w:rPr>
                <w:sz w:val="19"/>
              </w:rPr>
              <w:t>Franquicias / cadenas</w:t>
            </w:r>
          </w:p>
        </w:tc>
        <w:tc>
          <w:tcPr>
            <w:tcW w:type="dxa" w:w="4608"/>
            <w:shd w:val="clear" w:color="auto" w:fill="FAF6EE"/>
          </w:tcPr>
          <w:p>
            <w:r/>
            <w:r>
              <w:rPr>
                <w:sz w:val="19"/>
              </w:rPr>
              <w:t>Acceso ilimitado y alertas para quien busca ubicación de forma recurrente</w:t>
            </w:r>
          </w:p>
        </w:tc>
      </w:tr>
      <w:tr>
        <w:tc>
          <w:tcPr>
            <w:tcW w:type="dxa" w:w="2448"/>
            <w:shd w:val="clear" w:color="auto" w:fill="FAF6EE"/>
          </w:tcPr>
          <w:p>
            <w:r/>
            <w:r>
              <w:rPr>
                <w:sz w:val="19"/>
              </w:rPr>
              <w:t>Pago único por informe</w:t>
            </w:r>
          </w:p>
        </w:tc>
        <w:tc>
          <w:tcPr>
            <w:tcW w:type="dxa" w:w="2448"/>
            <w:shd w:val="clear" w:color="auto" w:fill="FAF6EE"/>
          </w:tcPr>
          <w:p>
            <w:r/>
            <w:r>
              <w:rPr>
                <w:sz w:val="19"/>
              </w:rPr>
              <w:t>Emprendedor individual</w:t>
            </w:r>
          </w:p>
        </w:tc>
        <w:tc>
          <w:tcPr>
            <w:tcW w:type="dxa" w:w="4608"/>
            <w:shd w:val="clear" w:color="auto" w:fill="FAF6EE"/>
          </w:tcPr>
          <w:p>
            <w:r/>
            <w:r>
              <w:rPr>
                <w:sz w:val="19"/>
              </w:rPr>
              <w:t>Pago puntual por un análisis completo de una búsqueda específica</w:t>
            </w:r>
          </w:p>
        </w:tc>
      </w:tr>
      <w:tr>
        <w:tc>
          <w:tcPr>
            <w:tcW w:type="dxa" w:w="2448"/>
            <w:shd w:val="clear" w:color="auto" w:fill="FAF6EE"/>
          </w:tcPr>
          <w:p>
            <w:r/>
            <w:r>
              <w:rPr>
                <w:sz w:val="19"/>
              </w:rPr>
              <w:t>Consultoría a medida</w:t>
            </w:r>
          </w:p>
        </w:tc>
        <w:tc>
          <w:tcPr>
            <w:tcW w:type="dxa" w:w="2448"/>
            <w:shd w:val="clear" w:color="auto" w:fill="FAF6EE"/>
          </w:tcPr>
          <w:p>
            <w:r/>
            <w:r>
              <w:rPr>
                <w:sz w:val="19"/>
              </w:rPr>
              <w:t>Clientes de expansión</w:t>
            </w:r>
          </w:p>
        </w:tc>
        <w:tc>
          <w:tcPr>
            <w:tcW w:type="dxa" w:w="4608"/>
            <w:shd w:val="clear" w:color="auto" w:fill="FAF6EE"/>
          </w:tcPr>
          <w:p>
            <w:r/>
            <w:r>
              <w:rPr>
                <w:sz w:val="19"/>
              </w:rPr>
              <w:t>Servicio de mayor contacto para cadenas expandiéndose a varias ciudades, cobrado como proyecto</w:t>
            </w:r>
          </w:p>
        </w:tc>
      </w:tr>
      <w:tr>
        <w:tc>
          <w:tcPr>
            <w:tcW w:type="dxa" w:w="2448"/>
            <w:shd w:val="clear" w:color="auto" w:fill="FAF6EE"/>
          </w:tcPr>
          <w:p>
            <w:r/>
            <w:r>
              <w:rPr>
                <w:sz w:val="19"/>
              </w:rPr>
              <w:t>Datos agregados</w:t>
            </w:r>
          </w:p>
        </w:tc>
        <w:tc>
          <w:tcPr>
            <w:tcW w:type="dxa" w:w="2448"/>
            <w:shd w:val="clear" w:color="auto" w:fill="FAF6EE"/>
          </w:tcPr>
          <w:p>
            <w:r/>
            <w:r>
              <w:rPr>
                <w:sz w:val="19"/>
              </w:rPr>
              <w:t>Terceros (bancos, fondos)</w:t>
            </w:r>
          </w:p>
        </w:tc>
        <w:tc>
          <w:tcPr>
            <w:tcW w:type="dxa" w:w="4608"/>
            <w:shd w:val="clear" w:color="auto" w:fill="FAF6EE"/>
          </w:tcPr>
          <w:p>
            <w:r/>
            <w:r>
              <w:rPr>
                <w:sz w:val="19"/>
              </w:rPr>
              <w:t>Venta de benchmarks de zona — renta promedio por m², saturación por categoría</w:t>
            </w:r>
          </w:p>
        </w:tc>
      </w:tr>
      <w:tr>
        <w:tc>
          <w:tcPr>
            <w:tcW w:type="dxa" w:w="2448"/>
            <w:shd w:val="clear" w:color="auto" w:fill="FAF6EE"/>
          </w:tcPr>
          <w:p>
            <w:r/>
            <w:r>
              <w:rPr>
                <w:sz w:val="19"/>
              </w:rPr>
              <w:t>Marketplace adyacente</w:t>
            </w:r>
          </w:p>
        </w:tc>
        <w:tc>
          <w:tcPr>
            <w:tcW w:type="dxa" w:w="2448"/>
            <w:shd w:val="clear" w:color="auto" w:fill="FAF6EE"/>
          </w:tcPr>
          <w:p>
            <w:r/>
            <w:r>
              <w:rPr>
                <w:sz w:val="19"/>
              </w:rPr>
              <w:t>Terceros (proveedores)</w:t>
            </w:r>
          </w:p>
        </w:tc>
        <w:tc>
          <w:tcPr>
            <w:tcW w:type="dxa" w:w="4608"/>
            <w:shd w:val="clear" w:color="auto" w:fill="FAF6EE"/>
          </w:tcPr>
          <w:p>
            <w:r/>
            <w:r>
              <w:rPr>
                <w:sz w:val="19"/>
              </w:rPr>
              <w:t>Comisión por referir arquitectos, permisos o contratistas de acondicionamiento</w:t>
            </w:r>
          </w:p>
        </w:tc>
      </w:tr>
      <w:tr>
        <w:tc>
          <w:tcPr>
            <w:tcW w:type="dxa" w:w="2448"/>
            <w:shd w:val="clear" w:color="auto" w:fill="FAF6EE"/>
          </w:tcPr>
          <w:p>
            <w:r/>
            <w:r>
              <w:rPr>
                <w:sz w:val="19"/>
              </w:rPr>
              <w:t>Publicidad</w:t>
            </w:r>
          </w:p>
        </w:tc>
        <w:tc>
          <w:tcPr>
            <w:tcW w:type="dxa" w:w="2448"/>
            <w:shd w:val="clear" w:color="auto" w:fill="FAF6EE"/>
          </w:tcPr>
          <w:p>
            <w:r/>
            <w:r>
              <w:rPr>
                <w:sz w:val="19"/>
              </w:rPr>
              <w:t>Terceros</w:t>
            </w:r>
          </w:p>
        </w:tc>
        <w:tc>
          <w:tcPr>
            <w:tcW w:type="dxa" w:w="4608"/>
            <w:shd w:val="clear" w:color="auto" w:fill="FAF6EE"/>
          </w:tcPr>
          <w:p>
            <w:r/>
            <w:r>
              <w:rPr>
                <w:sz w:val="19"/>
              </w:rPr>
              <w:t>Anunciantes relevantes al momento de abrir un negocio (crédito comercial, seguros, POS)</w:t>
            </w:r>
          </w:p>
        </w:tc>
      </w:tr>
    </w:tbl>
    <w:p>
      <w:pPr>
        <w:spacing w:after="120"/>
      </w:pPr>
    </w:p>
    <w:p>
      <w:pPr>
        <w:spacing w:before="280" w:after="60"/>
      </w:pPr>
      <w:r>
        <w:rPr>
          <w:b/>
          <w:color w:val="26231D"/>
          <w:sz w:val="25"/>
        </w:rPr>
        <w:t>6.2 — Secuencia recomendada</w:t>
      </w:r>
    </w:p>
    <w:p>
      <w:pPr>
        <w:spacing w:after="160"/>
      </w:pPr>
      <w:r>
        <w:rPr>
          <w:i w:val="0"/>
          <w:color w:val="26231D"/>
          <w:sz w:val="22"/>
        </w:rPr>
        <w:t>El orden sigue la separación entre la Capa 1 (no depende de las plazas) y la Capa 2 (sí depende):</w:t>
      </w:r>
    </w:p>
    <w:tbl>
      <w:tblPr>
        <w:tblW w:type="auto" w:w="0"/>
        <w:jc w:val="center"/>
        <w:tblLayout w:type="autofit"/>
        <w:tblLook w:firstColumn="1" w:firstRow="1" w:lastColumn="0" w:lastRow="0" w:noHBand="0" w:noVBand="1" w:val="04A0"/>
      </w:tblPr>
      <w:tblGrid>
        <w:gridCol w:w="3173"/>
        <w:gridCol w:w="3173"/>
        <w:gridCol w:w="3173"/>
      </w:tblGrid>
      <w:tr>
        <w:tc>
          <w:tcPr>
            <w:tcW w:type="dxa" w:w="1872"/>
            <w:shd w:val="clear" w:color="auto" w:fill="26231D"/>
          </w:tcPr>
          <w:p>
            <w:r/>
            <w:r>
              <w:rPr>
                <w:b/>
                <w:color w:val="FFFFFF"/>
                <w:sz w:val="19"/>
              </w:rPr>
              <w:t>Etapa</w:t>
            </w:r>
          </w:p>
        </w:tc>
        <w:tc>
          <w:tcPr>
            <w:tcW w:type="dxa" w:w="3744"/>
            <w:shd w:val="clear" w:color="auto" w:fill="26231D"/>
          </w:tcPr>
          <w:p>
            <w:r/>
            <w:r>
              <w:rPr>
                <w:b/>
                <w:color w:val="FFFFFF"/>
                <w:sz w:val="19"/>
              </w:rPr>
              <w:t>Qué se cobra</w:t>
            </w:r>
          </w:p>
        </w:tc>
        <w:tc>
          <w:tcPr>
            <w:tcW w:type="dxa" w:w="3888"/>
            <w:shd w:val="clear" w:color="auto" w:fill="26231D"/>
          </w:tcPr>
          <w:p>
            <w:r/>
            <w:r>
              <w:rPr>
                <w:b/>
                <w:color w:val="FFFFFF"/>
                <w:sz w:val="19"/>
              </w:rPr>
              <w:t>Por qué en ese momento</w:t>
            </w:r>
          </w:p>
        </w:tc>
      </w:tr>
      <w:tr>
        <w:tc>
          <w:tcPr>
            <w:tcW w:type="dxa" w:w="1872"/>
            <w:shd w:val="clear" w:color="auto" w:fill="FAF6EE"/>
          </w:tcPr>
          <w:p>
            <w:r/>
            <w:r>
              <w:rPr>
                <w:sz w:val="19"/>
              </w:rPr>
              <w:t>0 — Mapeo propio</w:t>
            </w:r>
          </w:p>
        </w:tc>
        <w:tc>
          <w:tcPr>
            <w:tcW w:type="dxa" w:w="3744"/>
            <w:shd w:val="clear" w:color="auto" w:fill="FAF6EE"/>
          </w:tcPr>
          <w:p>
            <w:r/>
            <w:r>
              <w:rPr>
                <w:sz w:val="19"/>
              </w:rPr>
              <w:t>Nada todavía</w:t>
            </w:r>
          </w:p>
        </w:tc>
        <w:tc>
          <w:tcPr>
            <w:tcW w:type="dxa" w:w="3888"/>
            <w:shd w:val="clear" w:color="auto" w:fill="FAF6EE"/>
          </w:tcPr>
          <w:p>
            <w:r/>
            <w:r>
              <w:rPr>
                <w:sz w:val="19"/>
              </w:rPr>
              <w:t>Se construye la Capa 1 con trabajo de campo propio. El costo es tiempo, no dinero.</w:t>
            </w:r>
          </w:p>
        </w:tc>
      </w:tr>
      <w:tr>
        <w:tc>
          <w:tcPr>
            <w:tcW w:type="dxa" w:w="1872"/>
            <w:shd w:val="clear" w:color="auto" w:fill="FAF6EE"/>
          </w:tcPr>
          <w:p>
            <w:r/>
            <w:r>
              <w:rPr>
                <w:sz w:val="19"/>
              </w:rPr>
              <w:t>1 — Demanda sin plazas socias</w:t>
            </w:r>
          </w:p>
        </w:tc>
        <w:tc>
          <w:tcPr>
            <w:tcW w:type="dxa" w:w="3744"/>
            <w:shd w:val="clear" w:color="auto" w:fill="FAF6EE"/>
          </w:tcPr>
          <w:p>
            <w:r/>
            <w:r>
              <w:rPr>
                <w:sz w:val="19"/>
              </w:rPr>
              <w:t>Informe pagado o consultoría a medida a un cliente ancla</w:t>
            </w:r>
          </w:p>
        </w:tc>
        <w:tc>
          <w:tcPr>
            <w:tcW w:type="dxa" w:w="3888"/>
            <w:shd w:val="clear" w:color="auto" w:fill="FAF6EE"/>
          </w:tcPr>
          <w:p>
            <w:r/>
            <w:r>
              <w:rPr>
                <w:sz w:val="19"/>
              </w:rPr>
              <w:t>La Capa 1 ya sostiene valor vendible sin que ninguna plaza haya participado. Genera ingreso real y evidencia de demanda.</w:t>
            </w:r>
          </w:p>
        </w:tc>
      </w:tr>
      <w:tr>
        <w:tc>
          <w:tcPr>
            <w:tcW w:type="dxa" w:w="1872"/>
            <w:shd w:val="clear" w:color="auto" w:fill="FAF6EE"/>
          </w:tcPr>
          <w:p>
            <w:r/>
            <w:r>
              <w:rPr>
                <w:sz w:val="19"/>
              </w:rPr>
              <w:t>2 — Primeras plazas con evidencia</w:t>
            </w:r>
          </w:p>
        </w:tc>
        <w:tc>
          <w:tcPr>
            <w:tcW w:type="dxa" w:w="3744"/>
            <w:shd w:val="clear" w:color="auto" w:fill="FAF6EE"/>
          </w:tcPr>
          <w:p>
            <w:r/>
            <w:r>
              <w:rPr>
                <w:sz w:val="19"/>
              </w:rPr>
              <w:t>Suscripción económica a plazas piloto</w:t>
            </w:r>
          </w:p>
        </w:tc>
        <w:tc>
          <w:tcPr>
            <w:tcW w:type="dxa" w:w="3888"/>
            <w:shd w:val="clear" w:color="auto" w:fill="FAF6EE"/>
          </w:tcPr>
          <w:p>
            <w:r/>
            <w:r>
              <w:rPr>
                <w:sz w:val="19"/>
              </w:rPr>
              <w:t>Se toca la puerta con datos reales de búsquedas, no con una promesa. La suscripción es un "sí" más fácil que la comisión mientras el círculo no está probado.</w:t>
            </w:r>
          </w:p>
        </w:tc>
      </w:tr>
      <w:tr>
        <w:tc>
          <w:tcPr>
            <w:tcW w:type="dxa" w:w="1872"/>
            <w:shd w:val="clear" w:color="auto" w:fill="FAF6EE"/>
          </w:tcPr>
          <w:p>
            <w:r/>
            <w:r>
              <w:rPr>
                <w:sz w:val="19"/>
              </w:rPr>
              <w:t>3 — Masa crítica en una ciudad</w:t>
            </w:r>
          </w:p>
        </w:tc>
        <w:tc>
          <w:tcPr>
            <w:tcW w:type="dxa" w:w="3744"/>
            <w:shd w:val="clear" w:color="auto" w:fill="FAF6EE"/>
          </w:tcPr>
          <w:p>
            <w:r/>
            <w:r>
              <w:rPr>
                <w:sz w:val="19"/>
              </w:rPr>
              <w:t>Suscripción y comisión en paralelo a plazas; suscripción a franquicias; primeros datos agregados</w:t>
            </w:r>
          </w:p>
        </w:tc>
        <w:tc>
          <w:tcPr>
            <w:tcW w:type="dxa" w:w="3888"/>
            <w:shd w:val="clear" w:color="auto" w:fill="FAF6EE"/>
          </w:tcPr>
          <w:p>
            <w:r/>
            <w:r>
              <w:rPr>
                <w:sz w:val="19"/>
              </w:rPr>
              <w:t>El círculo ya cerró (búsqueda → lead → contrato) las veces suficientes para ofrecer ambos modelos y para que los datos agregados tengan volumen real.</w:t>
            </w:r>
          </w:p>
        </w:tc>
      </w:tr>
      <w:tr>
        <w:tc>
          <w:tcPr>
            <w:tcW w:type="dxa" w:w="1872"/>
            <w:shd w:val="clear" w:color="auto" w:fill="FAF6EE"/>
          </w:tcPr>
          <w:p>
            <w:r/>
            <w:r>
              <w:rPr>
                <w:sz w:val="19"/>
              </w:rPr>
              <w:t>4 — Expansión</w:t>
            </w:r>
          </w:p>
        </w:tc>
        <w:tc>
          <w:tcPr>
            <w:tcW w:type="dxa" w:w="3744"/>
            <w:shd w:val="clear" w:color="auto" w:fill="FAF6EE"/>
          </w:tcPr>
          <w:p>
            <w:r/>
            <w:r>
              <w:rPr>
                <w:sz w:val="19"/>
              </w:rPr>
              <w:t>Pago por lead, listados destacados, marketplace adyacente</w:t>
            </w:r>
          </w:p>
        </w:tc>
        <w:tc>
          <w:tcPr>
            <w:tcW w:type="dxa" w:w="3888"/>
            <w:shd w:val="clear" w:color="auto" w:fill="FAF6EE"/>
          </w:tcPr>
          <w:p>
            <w:r/>
            <w:r>
              <w:rPr>
                <w:sz w:val="19"/>
              </w:rPr>
              <w:t>Optimización de ingreso sobre una base ya consolidada; se repite la secuencia completa en la siguiente ciudad o país.</w:t>
            </w:r>
          </w:p>
        </w:tc>
      </w:tr>
    </w:tbl>
    <w:p>
      <w:pPr>
        <w:spacing w:after="120"/>
      </w:pPr>
    </w:p>
    <w:p>
      <w:pPr>
        <w:spacing w:before="280" w:after="60"/>
      </w:pPr>
      <w:r>
        <w:rPr>
          <w:b/>
          <w:color w:val="26231D"/>
          <w:sz w:val="25"/>
        </w:rPr>
        <w:t>6.3 — Recomendación de arranque</w:t>
      </w:r>
    </w:p>
    <w:p>
      <w:pPr>
        <w:spacing w:after="160"/>
      </w:pPr>
      <w:r>
        <w:rPr>
          <w:i w:val="0"/>
          <w:color w:val="26231D"/>
          <w:sz w:val="22"/>
        </w:rPr>
        <w:t>No activar comisión por cierre ni pago por lead todavía: ambas dependen de que el círculo ya funcione, y esa parte aún no está probada. El primer paso concreto es conseguir un cliente pagante de consultoría a medida (Etapa 1) — por ejemplo, una cadena en expansión — usando la metodología ya construida en el prototipo. Ese ingreso inicial no depende de ninguna plaza, y la evidencia de demanda que genera es exactamente el argumento con el que se recluta a las primeras plazas piloto en la Etapa 2.</w:t>
      </w:r>
    </w:p>
    <w:p>
      <w:pPr>
        <w:spacing w:before="520" w:after="80"/>
        <w:pBdr>
          <w:bottom w:val="single" w:sz="6" w:space="6" w:color="E4DCCB"/>
        </w:pBdr>
      </w:pPr>
      <w:r>
        <w:rPr>
          <w:rFonts w:ascii="Georgia" w:hAnsi="Georgia"/>
          <w:b/>
          <w:color w:val="C22E4E"/>
          <w:sz w:val="32"/>
        </w:rPr>
        <w:t xml:space="preserve">7.  </w:t>
      </w:r>
      <w:r>
        <w:rPr>
          <w:rFonts w:ascii="Georgia" w:hAnsi="Georgia"/>
          <w:b/>
          <w:color w:val="26231D"/>
          <w:sz w:val="32"/>
        </w:rPr>
        <w:t>Mercado y oportunidad</w:t>
      </w:r>
    </w:p>
    <w:p>
      <w:pPr>
        <w:pStyle w:val="ListBullet"/>
        <w:spacing w:after="80"/>
      </w:pPr>
      <w:r>
        <w:rPr>
          <w:b/>
        </w:rPr>
        <w:t xml:space="preserve">Tamaño — </w:t>
      </w:r>
      <w:r>
        <w:rPr>
          <w:sz w:val="22"/>
        </w:rPr>
        <w:t>Se estiman entre 300 y 500 plazas comerciales relevantes en Panamá — un universo que se puede mapear por completo en semanas, no años.</w:t>
      </w:r>
    </w:p>
    <w:p>
      <w:pPr>
        <w:pStyle w:val="ListBullet"/>
        <w:spacing w:after="80"/>
      </w:pPr>
      <w:r>
        <w:rPr>
          <w:b/>
        </w:rPr>
        <w:t xml:space="preserve">Clientes recurrentes — </w:t>
      </w:r>
      <w:r>
        <w:rPr>
          <w:sz w:val="22"/>
        </w:rPr>
        <w:t>Franquicias y cadenas en expansión buscan ubicación de forma constante, a diferencia del emprendedor individual que busca una vez cada varios años — son el cliente recurrente natural del lado de la demanda.</w:t>
      </w:r>
    </w:p>
    <w:p>
      <w:pPr>
        <w:pStyle w:val="ListBullet"/>
        <w:spacing w:after="80"/>
      </w:pPr>
      <w:r>
        <w:rPr>
          <w:b/>
        </w:rPr>
        <w:t xml:space="preserve">Expansión — </w:t>
      </w:r>
      <w:r>
        <w:rPr>
          <w:sz w:val="22"/>
        </w:rPr>
        <w:t>El mismo modelo aplica a otros países de la región donde tampoco existe una herramienta que cruce tenant mix con recomendación de ubicación.</w:t>
      </w:r>
    </w:p>
    <w:p>
      <w:pPr>
        <w:spacing w:before="280" w:after="60"/>
      </w:pPr>
      <w:r>
        <w:rPr>
          <w:b/>
          <w:color w:val="26231D"/>
          <w:sz w:val="25"/>
        </w:rPr>
        <w:t>Por qué ahora</w:t>
      </w:r>
    </w:p>
    <w:p>
      <w:pPr>
        <w:pStyle w:val="ListBullet"/>
        <w:spacing w:after="80"/>
      </w:pPr>
      <w:r>
        <w:rPr>
          <w:sz w:val="22"/>
        </w:rPr>
        <w:t>Los portales inmobiliarios muestran el local; ninguno cruza el tenant mix contra el rubro de quien busca.</w:t>
      </w:r>
    </w:p>
    <w:p>
      <w:pPr>
        <w:pStyle w:val="ListBullet"/>
        <w:spacing w:after="80"/>
      </w:pPr>
      <w:r>
        <w:rPr>
          <w:sz w:val="22"/>
        </w:rPr>
        <w:t>Google Maps ya deja ver qué hay alrededor de una plaza, pero no lo convierte en una recomendación — ese es el trabajo que hace la plataforma.</w:t>
      </w:r>
    </w:p>
    <w:p>
      <w:pPr>
        <w:pStyle w:val="ListBullet"/>
        <w:spacing w:after="80"/>
      </w:pPr>
      <w:r>
        <w:rPr>
          <w:sz w:val="22"/>
        </w:rPr>
        <w:t>El costo de mapear y mantener el dato actualizado es alto, y es justamente eso lo que vuelve al negocio difícil de copiar rápido una vez construido.</w:t>
      </w:r>
    </w:p>
    <w:p>
      <w:pPr>
        <w:spacing w:before="520" w:after="80"/>
        <w:pBdr>
          <w:bottom w:val="single" w:sz="6" w:space="6" w:color="E4DCCB"/>
        </w:pBdr>
      </w:pPr>
      <w:r>
        <w:rPr>
          <w:rFonts w:ascii="Georgia" w:hAnsi="Georgia"/>
          <w:b/>
          <w:color w:val="C22E4E"/>
          <w:sz w:val="32"/>
        </w:rPr>
        <w:t xml:space="preserve">8.  </w:t>
      </w:r>
      <w:r>
        <w:rPr>
          <w:rFonts w:ascii="Georgia" w:hAnsi="Georgia"/>
          <w:b/>
          <w:color w:val="26231D"/>
          <w:sz w:val="32"/>
        </w:rPr>
        <w:t>Riesgos y cómo se están validando</w:t>
      </w:r>
    </w:p>
    <w:p>
      <w:pPr>
        <w:spacing w:before="280" w:after="60"/>
      </w:pPr>
      <w:r>
        <w:rPr>
          <w:b/>
          <w:color w:val="26231D"/>
          <w:sz w:val="25"/>
        </w:rPr>
        <w:t>Desintermediación</w:t>
      </w:r>
    </w:p>
    <w:p>
      <w:pPr>
        <w:spacing w:after="160"/>
      </w:pPr>
      <w:r>
        <w:rPr>
          <w:i w:val="0"/>
          <w:color w:val="26231D"/>
          <w:sz w:val="22"/>
        </w:rPr>
        <w:t>El trato puede cerrarse fuera de la plataforma una vez que la plaza y el emprendedor se conocen — un riesgo clásico de los marketplaces inmobiliarios, donde cobrar comisión es difícil de hacer cumplir.</w:t>
      </w:r>
    </w:p>
    <w:p>
      <w:pPr>
        <w:spacing w:before="80" w:after="200"/>
      </w:pPr>
      <w:r>
        <w:rPr>
          <w:i/>
          <w:color w:val="7A7168"/>
          <w:sz w:val="19"/>
        </w:rPr>
        <w:t>Mitigación: priorizar el modelo de suscripción sobre la comisión por cierre en las primeras etapas, para no depender de rastrear transacciones que ocurren fuera de la vista de la plataforma.</w:t>
      </w:r>
    </w:p>
    <w:p>
      <w:pPr>
        <w:spacing w:before="280" w:after="60"/>
      </w:pPr>
      <w:r>
        <w:rPr>
          <w:b/>
          <w:color w:val="26231D"/>
          <w:sz w:val="25"/>
        </w:rPr>
        <w:t>Mantener el dato fresco</w:t>
      </w:r>
    </w:p>
    <w:p>
      <w:pPr>
        <w:spacing w:after="160"/>
      </w:pPr>
      <w:r>
        <w:rPr>
          <w:i w:val="0"/>
          <w:color w:val="26231D"/>
          <w:sz w:val="22"/>
        </w:rPr>
        <w:t>El tenant mix y las vacantes cambian constantemente. Un dato desactualizado (una farmacia que ya no está, un local que ya se rentó) destruye la confianza en todo el producto la primera vez que se nota.</w:t>
      </w:r>
    </w:p>
    <w:p>
      <w:pPr>
        <w:spacing w:before="80" w:after="200"/>
      </w:pPr>
      <w:r>
        <w:rPr>
          <w:i/>
          <w:color w:val="7A7168"/>
          <w:sz w:val="19"/>
        </w:rPr>
        <w:t>Mitigación: piloto de mantener 20 plazas actualizadas manualmente durante un mes, para medir el costo operativo real por plaza antes de escalar.</w:t>
      </w:r>
    </w:p>
    <w:p>
      <w:pPr>
        <w:spacing w:before="280" w:after="60"/>
      </w:pPr>
      <w:r>
        <w:rPr>
          <w:b/>
          <w:color w:val="26231D"/>
          <w:sz w:val="25"/>
        </w:rPr>
        <w:t>Adopción del lado de la plaza</w:t>
      </w:r>
    </w:p>
    <w:p>
      <w:pPr>
        <w:spacing w:after="160"/>
      </w:pPr>
      <w:r>
        <w:rPr>
          <w:i w:val="0"/>
          <w:color w:val="26231D"/>
          <w:sz w:val="22"/>
        </w:rPr>
        <w:t>Muchas plazas medianas e independientes en Panamá operan hoy con un corredor de confianza y WhatsApp. Pueden no responder leads, no actualizar su perfil, o no ver la necesidad de pagar por software.</w:t>
      </w:r>
    </w:p>
    <w:p>
      <w:pPr>
        <w:spacing w:before="80" w:after="200"/>
      </w:pPr>
      <w:r>
        <w:rPr>
          <w:i/>
          <w:color w:val="7A7168"/>
          <w:sz w:val="19"/>
        </w:rPr>
        <w:t>Mitigación: entrevistas con administradores de plaza mostrando el panel "Mi plaza" antes de invertir más en construirlo, para confirmar que el problema que resuelve realmente les importa.</w:t>
      </w:r>
    </w:p>
    <w:p>
      <w:pPr>
        <w:spacing w:before="280" w:after="60"/>
      </w:pPr>
      <w:r>
        <w:rPr>
          <w:b/>
          <w:color w:val="26231D"/>
          <w:sz w:val="25"/>
        </w:rPr>
        <w:t>Baja frecuencia del lado del emprendedor</w:t>
      </w:r>
    </w:p>
    <w:p>
      <w:pPr>
        <w:spacing w:after="160"/>
      </w:pPr>
      <w:r>
        <w:rPr>
          <w:i w:val="0"/>
          <w:color w:val="26231D"/>
          <w:sz w:val="22"/>
        </w:rPr>
        <w:t>Una persona busca local una vez cada varios años; no hay recurrencia natural en ese segmento. La recurrencia real está en franquicias y en las propias plazas, que son un universo más pequeño de clientes.</w:t>
      </w:r>
    </w:p>
    <w:p>
      <w:pPr>
        <w:spacing w:before="280" w:after="60"/>
      </w:pPr>
      <w:r>
        <w:rPr>
          <w:b/>
          <w:color w:val="26231D"/>
          <w:sz w:val="25"/>
        </w:rPr>
        <w:t>Techo de mercado</w:t>
      </w:r>
    </w:p>
    <w:p>
      <w:pPr>
        <w:spacing w:after="160"/>
      </w:pPr>
      <w:r>
        <w:rPr>
          <w:i w:val="0"/>
          <w:color w:val="26231D"/>
          <w:sz w:val="22"/>
        </w:rPr>
        <w:t>Si las 300–500 plazas de Panamá pagaran una suscripción modesta, el mercado total es significativo pero no masivo. La expansión a otros países es la vía para crecer más allá de ese techo, pero cada mercado nuevo requiere remapear desde cero.</w:t>
      </w:r>
    </w:p>
    <w:p>
      <w:pPr>
        <w:spacing w:before="280" w:after="60"/>
      </w:pPr>
      <w:r>
        <w:rPr>
          <w:b/>
          <w:color w:val="26231D"/>
          <w:sz w:val="25"/>
        </w:rPr>
        <w:t>Los incumbentes pueden copiar el ángulo</w:t>
      </w:r>
    </w:p>
    <w:p>
      <w:pPr>
        <w:spacing w:after="160"/>
      </w:pPr>
      <w:r>
        <w:rPr>
          <w:i w:val="0"/>
          <w:color w:val="26231D"/>
          <w:sz w:val="22"/>
        </w:rPr>
        <w:t>Portales ya establecidos con tráfico e inventario podrían agregar "negocios en esta plaza" a su producto en meses si el ángulo del tenant mix demuestra funcionar. La defensa real es el dataset curado y mantenido, no la idea en sí.</w:t>
      </w:r>
    </w:p>
    <w:p>
      <w:pPr>
        <w:spacing w:before="280" w:after="60"/>
      </w:pPr>
      <w:r>
        <w:rPr>
          <w:b/>
          <w:color w:val="26231D"/>
          <w:sz w:val="25"/>
        </w:rPr>
        <w:t>Los límites de una recomendación basada en heurísticas</w:t>
      </w:r>
    </w:p>
    <w:p>
      <w:pPr>
        <w:spacing w:after="160"/>
      </w:pPr>
      <w:r>
        <w:rPr>
          <w:i w:val="0"/>
          <w:color w:val="26231D"/>
          <w:sz w:val="22"/>
        </w:rPr>
        <w:t>Sin datos de tráfico real, ventas o poder adquisitivo verificado, el puntaje de cada plaza es una heurística razonable, no una certeza. Es importante comunicar la recomendación como "esta plaza reúne las mejores condiciones según X, Y, Z", nunca como una garantía de resultado.</w:t>
      </w:r>
    </w:p>
    <w:p>
      <w:pPr>
        <w:spacing w:before="520" w:after="80"/>
        <w:pBdr>
          <w:bottom w:val="single" w:sz="6" w:space="6" w:color="E4DCCB"/>
        </w:pBdr>
      </w:pPr>
      <w:r>
        <w:rPr>
          <w:rFonts w:ascii="Georgia" w:hAnsi="Georgia"/>
          <w:b/>
          <w:color w:val="C22E4E"/>
          <w:sz w:val="32"/>
        </w:rPr>
        <w:t xml:space="preserve">9.  </w:t>
      </w:r>
      <w:r>
        <w:rPr>
          <w:rFonts w:ascii="Georgia" w:hAnsi="Georgia"/>
          <w:b/>
          <w:color w:val="26231D"/>
          <w:sz w:val="32"/>
        </w:rPr>
        <w:t>Estado actual del producto</w:t>
      </w:r>
    </w:p>
    <w:p>
      <w:pPr>
        <w:spacing w:before="280" w:after="60"/>
      </w:pPr>
      <w:r>
        <w:rPr>
          <w:b/>
          <w:color w:val="26231D"/>
          <w:sz w:val="25"/>
        </w:rPr>
        <w:t>Hecho</w:t>
      </w:r>
    </w:p>
    <w:p>
      <w:pPr>
        <w:pStyle w:val="ListBullet"/>
        <w:spacing w:after="80"/>
      </w:pPr>
      <w:r>
        <w:rPr>
          <w:sz w:val="22"/>
        </w:rPr>
        <w:t>Prototipo navegable en plaza-marketplace.vercel.app.</w:t>
      </w:r>
    </w:p>
    <w:p>
      <w:pPr>
        <w:pStyle w:val="ListBullet"/>
        <w:spacing w:after="80"/>
      </w:pPr>
      <w:r>
        <w:rPr>
          <w:sz w:val="22"/>
        </w:rPr>
        <w:t>25 plazas reales de Panamá cargadas, organizadas por zona, con las ocho dimensiones de análisis funcionando.</w:t>
      </w:r>
    </w:p>
    <w:p>
      <w:pPr>
        <w:pStyle w:val="ListBullet"/>
        <w:spacing w:after="80"/>
      </w:pPr>
      <w:r>
        <w:rPr>
          <w:sz w:val="22"/>
        </w:rPr>
        <w:t>El mapa, la evaluación guiada, el análisis por rubro (Oportunidades) y el panel de administrador de plaza, todos operando sobre la misma base de datos.</w:t>
      </w:r>
    </w:p>
    <w:p>
      <w:pPr>
        <w:spacing w:before="280" w:after="60"/>
      </w:pPr>
      <w:r>
        <w:rPr>
          <w:b/>
          <w:color w:val="26231D"/>
          <w:sz w:val="25"/>
        </w:rPr>
        <w:t>Falta</w:t>
      </w:r>
    </w:p>
    <w:p>
      <w:pPr>
        <w:pStyle w:val="ListBullet"/>
        <w:spacing w:after="80"/>
      </w:pPr>
      <w:r>
        <w:rPr>
          <w:sz w:val="22"/>
        </w:rPr>
        <w:t>Datos reales de negocios, locales y precios — los que usa el prototipo hoy son ilustrativos.</w:t>
      </w:r>
    </w:p>
    <w:p>
      <w:pPr>
        <w:pStyle w:val="ListBullet"/>
        <w:spacing w:after="80"/>
      </w:pPr>
      <w:r>
        <w:rPr>
          <w:sz w:val="22"/>
        </w:rPr>
        <w:t>Base de datos real, cuentas de usuario, y un mapa geográfico verdadero (el actual es esquemático por zona).</w:t>
      </w:r>
    </w:p>
    <w:p>
      <w:pPr>
        <w:pStyle w:val="ListBullet"/>
        <w:spacing w:after="80"/>
      </w:pPr>
      <w:r>
        <w:rPr>
          <w:sz w:val="22"/>
        </w:rPr>
        <w:t>Validar con administradores de plaza reales y con emprendedores reales que la recomendación y el flujo de solicitud funcionan como se espera.</w:t>
      </w:r>
    </w:p>
    <w:p>
      <w:pPr>
        <w:pStyle w:val="ListBullet"/>
        <w:spacing w:after="80"/>
      </w:pPr>
      <w:r>
        <w:rPr>
          <w:sz w:val="22"/>
        </w:rPr>
        <w:t>Un primer cliente pagante de consultoría a medida, como arranque del modelo de monetización descrito en la sección 6.</w:t>
      </w:r>
    </w:p>
    <w:p>
      <w:pPr>
        <w:spacing w:before="520" w:after="80"/>
        <w:pBdr>
          <w:bottom w:val="single" w:sz="6" w:space="6" w:color="E4DCCB"/>
        </w:pBdr>
      </w:pPr>
      <w:r>
        <w:rPr>
          <w:rFonts w:ascii="Georgia" w:hAnsi="Georgia"/>
          <w:b/>
          <w:color w:val="C22E4E"/>
          <w:sz w:val="32"/>
        </w:rPr>
        <w:t xml:space="preserve">10.  </w:t>
      </w:r>
      <w:r>
        <w:rPr>
          <w:rFonts w:ascii="Georgia" w:hAnsi="Georgia"/>
          <w:b/>
          <w:color w:val="26231D"/>
          <w:sz w:val="32"/>
        </w:rPr>
        <w:t>Roadmap</w:t>
      </w:r>
    </w:p>
    <w:tbl>
      <w:tblPr>
        <w:tblW w:type="auto" w:w="0"/>
        <w:jc w:val="center"/>
        <w:tblLayout w:type="autofit"/>
        <w:tblLook w:firstColumn="1" w:firstRow="1" w:lastColumn="0" w:lastRow="0" w:noHBand="0" w:noVBand="1" w:val="04A0"/>
      </w:tblPr>
      <w:tblGrid>
        <w:gridCol w:w="3173"/>
        <w:gridCol w:w="3173"/>
        <w:gridCol w:w="3173"/>
      </w:tblGrid>
      <w:tr>
        <w:tc>
          <w:tcPr>
            <w:tcW w:type="dxa" w:w="1872"/>
            <w:shd w:val="clear" w:color="auto" w:fill="26231D"/>
          </w:tcPr>
          <w:p>
            <w:r/>
            <w:r>
              <w:rPr>
                <w:b/>
                <w:color w:val="FFFFFF"/>
                <w:sz w:val="19"/>
              </w:rPr>
              <w:t>Fase</w:t>
            </w:r>
          </w:p>
        </w:tc>
        <w:tc>
          <w:tcPr>
            <w:tcW w:type="dxa" w:w="1728"/>
            <w:shd w:val="clear" w:color="auto" w:fill="26231D"/>
          </w:tcPr>
          <w:p>
            <w:r/>
            <w:r>
              <w:rPr>
                <w:b/>
                <w:color w:val="FFFFFF"/>
                <w:sz w:val="19"/>
              </w:rPr>
              <w:t>Estado</w:t>
            </w:r>
          </w:p>
        </w:tc>
        <w:tc>
          <w:tcPr>
            <w:tcW w:type="dxa" w:w="5904"/>
            <w:shd w:val="clear" w:color="auto" w:fill="26231D"/>
          </w:tcPr>
          <w:p>
            <w:r/>
            <w:r>
              <w:rPr>
                <w:b/>
                <w:color w:val="FFFFFF"/>
                <w:sz w:val="19"/>
              </w:rPr>
              <w:t>Contenido</w:t>
            </w:r>
          </w:p>
        </w:tc>
      </w:tr>
      <w:tr>
        <w:tc>
          <w:tcPr>
            <w:tcW w:type="dxa" w:w="1872"/>
            <w:shd w:val="clear" w:color="auto" w:fill="FAF6EE"/>
          </w:tcPr>
          <w:p>
            <w:r/>
            <w:r>
              <w:rPr>
                <w:sz w:val="19"/>
              </w:rPr>
              <w:t>1 — Prototipo</w:t>
            </w:r>
          </w:p>
        </w:tc>
        <w:tc>
          <w:tcPr>
            <w:tcW w:type="dxa" w:w="1728"/>
            <w:shd w:val="clear" w:color="auto" w:fill="FAF6EE"/>
          </w:tcPr>
          <w:p>
            <w:r/>
            <w:r>
              <w:rPr>
                <w:sz w:val="19"/>
              </w:rPr>
              <w:t>Hecho</w:t>
            </w:r>
          </w:p>
        </w:tc>
        <w:tc>
          <w:tcPr>
            <w:tcW w:type="dxa" w:w="5904"/>
            <w:shd w:val="clear" w:color="auto" w:fill="FAF6EE"/>
          </w:tcPr>
          <w:p>
            <w:r/>
            <w:r>
              <w:rPr>
                <w:sz w:val="19"/>
              </w:rPr>
              <w:t>Producto navegable con 25 plazas de Panamá, motor de evaluación y panel de administrador.</w:t>
            </w:r>
          </w:p>
        </w:tc>
      </w:tr>
      <w:tr>
        <w:tc>
          <w:tcPr>
            <w:tcW w:type="dxa" w:w="1872"/>
            <w:shd w:val="clear" w:color="auto" w:fill="FAF6EE"/>
          </w:tcPr>
          <w:p>
            <w:r/>
            <w:r>
              <w:rPr>
                <w:sz w:val="19"/>
              </w:rPr>
              <w:t>2 — Validación</w:t>
            </w:r>
          </w:p>
        </w:tc>
        <w:tc>
          <w:tcPr>
            <w:tcW w:type="dxa" w:w="1728"/>
            <w:shd w:val="clear" w:color="auto" w:fill="FAF6EE"/>
          </w:tcPr>
          <w:p>
            <w:r/>
            <w:r>
              <w:rPr>
                <w:sz w:val="19"/>
              </w:rPr>
              <w:t>En curso</w:t>
            </w:r>
          </w:p>
        </w:tc>
        <w:tc>
          <w:tcPr>
            <w:tcW w:type="dxa" w:w="5904"/>
            <w:shd w:val="clear" w:color="auto" w:fill="FAF6EE"/>
          </w:tcPr>
          <w:p>
            <w:r/>
            <w:r>
              <w:rPr>
                <w:sz w:val="19"/>
              </w:rPr>
              <w:t>Primer cliente de consultoría pagada; entrevistas con administradores de plaza; prueba con 30–50 emprendedores reales.</w:t>
            </w:r>
          </w:p>
        </w:tc>
      </w:tr>
      <w:tr>
        <w:tc>
          <w:tcPr>
            <w:tcW w:type="dxa" w:w="1872"/>
            <w:shd w:val="clear" w:color="auto" w:fill="FAF6EE"/>
          </w:tcPr>
          <w:p>
            <w:r/>
            <w:r>
              <w:rPr>
                <w:sz w:val="19"/>
              </w:rPr>
              <w:t>3 — Producto real</w:t>
            </w:r>
          </w:p>
        </w:tc>
        <w:tc>
          <w:tcPr>
            <w:tcW w:type="dxa" w:w="1728"/>
            <w:shd w:val="clear" w:color="auto" w:fill="FAF6EE"/>
          </w:tcPr>
          <w:p>
            <w:r/>
            <w:r>
              <w:rPr>
                <w:sz w:val="19"/>
              </w:rPr>
              <w:t>Próximo</w:t>
            </w:r>
          </w:p>
        </w:tc>
        <w:tc>
          <w:tcPr>
            <w:tcW w:type="dxa" w:w="5904"/>
            <w:shd w:val="clear" w:color="auto" w:fill="FAF6EE"/>
          </w:tcPr>
          <w:p>
            <w:r/>
            <w:r>
              <w:rPr>
                <w:sz w:val="19"/>
              </w:rPr>
              <w:t>Cuentas, base de datos, mapa geolocalizado real y solicitudes que sí llegan a la plaza.</w:t>
            </w:r>
          </w:p>
        </w:tc>
      </w:tr>
      <w:tr>
        <w:tc>
          <w:tcPr>
            <w:tcW w:type="dxa" w:w="1872"/>
            <w:shd w:val="clear" w:color="auto" w:fill="FAF6EE"/>
          </w:tcPr>
          <w:p>
            <w:r/>
            <w:r>
              <w:rPr>
                <w:sz w:val="19"/>
              </w:rPr>
              <w:t>4 — Expansión</w:t>
            </w:r>
          </w:p>
        </w:tc>
        <w:tc>
          <w:tcPr>
            <w:tcW w:type="dxa" w:w="1728"/>
            <w:shd w:val="clear" w:color="auto" w:fill="FAF6EE"/>
          </w:tcPr>
          <w:p>
            <w:r/>
            <w:r>
              <w:rPr>
                <w:sz w:val="19"/>
              </w:rPr>
              <w:t>Próximo</w:t>
            </w:r>
          </w:p>
        </w:tc>
        <w:tc>
          <w:tcPr>
            <w:tcW w:type="dxa" w:w="5904"/>
            <w:shd w:val="clear" w:color="auto" w:fill="FAF6EE"/>
          </w:tcPr>
          <w:p>
            <w:r/>
            <w:r>
              <w:rPr>
                <w:sz w:val="19"/>
              </w:rPr>
              <w:t>Más ciudades de Panamá y, validado el modelo, otros países de la región.</w:t>
            </w:r>
          </w:p>
        </w:tc>
      </w:tr>
    </w:tbl>
    <w:p>
      <w:pPr>
        <w:spacing w:after="120"/>
      </w:pPr>
    </w:p>
    <w:p>
      <w:pPr>
        <w:spacing w:before="520" w:after="80"/>
        <w:pBdr>
          <w:bottom w:val="single" w:sz="6" w:space="6" w:color="E4DCCB"/>
        </w:pBdr>
      </w:pPr>
      <w:r>
        <w:rPr>
          <w:rFonts w:ascii="Georgia" w:hAnsi="Georgia"/>
          <w:b/>
          <w:color w:val="C22E4E"/>
          <w:sz w:val="32"/>
        </w:rPr>
        <w:t xml:space="preserve">11.  </w:t>
      </w:r>
      <w:r>
        <w:rPr>
          <w:rFonts w:ascii="Georgia" w:hAnsi="Georgia"/>
          <w:b/>
          <w:color w:val="26231D"/>
          <w:sz w:val="32"/>
        </w:rPr>
        <w:t>Próximos pasos inmediatos</w:t>
      </w:r>
    </w:p>
    <w:p>
      <w:pPr>
        <w:pStyle w:val="ListBullet"/>
        <w:spacing w:after="80"/>
      </w:pPr>
      <w:r>
        <w:rPr>
          <w:sz w:val="22"/>
        </w:rPr>
        <w:t>Identificar y cerrar un primer cliente pagante para un análisis de expansión (consultoría a medida), usando la metodología del prototipo.</w:t>
      </w:r>
    </w:p>
    <w:p>
      <w:pPr>
        <w:pStyle w:val="ListBullet"/>
        <w:spacing w:after="80"/>
      </w:pPr>
      <w:r>
        <w:rPr>
          <w:sz w:val="22"/>
        </w:rPr>
        <w:t>Completar el mapeo real de tenant mix para las plazas prioritarias de la ciudad, priorizando las zonas de mayor interés del primer cliente.</w:t>
      </w:r>
    </w:p>
    <w:p>
      <w:pPr>
        <w:pStyle w:val="ListBullet"/>
        <w:spacing w:after="80"/>
      </w:pPr>
      <w:r>
        <w:rPr>
          <w:sz w:val="22"/>
        </w:rPr>
        <w:t>Realizar 10 entrevistas con administradores de plaza mostrando el panel "Mi plaza", para validar interés y disposición a pagar antes de construir más.</w:t>
      </w:r>
    </w:p>
    <w:p>
      <w:pPr>
        <w:pStyle w:val="ListBullet"/>
        <w:spacing w:after="80"/>
      </w:pPr>
      <w:r>
        <w:rPr>
          <w:sz w:val="22"/>
        </w:rPr>
        <w:t>Definir el precio piloto de la suscripción de plaza (Etapa 2) con base en lo aprendido en esas entrevistas.</w:t>
      </w:r>
    </w:p>
    <w:p>
      <w:pPr>
        <w:pStyle w:val="ListBullet"/>
        <w:spacing w:after="80"/>
      </w:pPr>
      <w:r>
        <w:rPr>
          <w:sz w:val="22"/>
        </w:rPr>
        <w:t>[Completar con las fechas y responsables una vez definidos.]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623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