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Turbofan Remaining Useful Life Prediction</w:t>
      </w:r>
    </w:p>
    <w:p>
      <w:r>
        <w:t>Functional requirements and MLOps solution design</w:t>
      </w:r>
    </w:p>
    <w:p>
      <w:r>
        <w:t>Prepared for Joseph Pablo Varun  |  23 October 2026  |  Version 1.0</w:t>
      </w:r>
    </w:p>
    <w:p>
      <w:pPr>
        <w:pStyle w:val="Heading2"/>
      </w:pPr>
      <w:r>
        <w:t>Purpose and intended outcome</w:t>
      </w:r>
    </w:p>
    <w:p>
      <w:r>
        <w:t>Build a reproducible portfolio application that estimates remaining useful life in operating cycles from turbofan sensor history. Users select an engine or upload a valid history file, inspect the model input features, obtain a prediction, and trace that result to a tested model version. The project demonstrates industrial ML and MLOps as a portfolio project.</w:t>
      </w:r>
    </w:p>
    <w:p>
      <w:r>
        <w:t>This document specifies planned behaviour and acceptance criteria. No model has yet been trained and no performance or financial outcome is claimed. The application is an educational demonstration using simulated public data, not an aircraft maintenance decision system.</w:t>
      </w:r>
    </w:p>
    <w:p>
      <w:pPr>
        <w:pStyle w:val="Heading2"/>
      </w:pPr>
      <w:r>
        <w:t>Recommended delivery approach</w:t>
      </w:r>
    </w:p>
    <w:p>
      <w:r>
        <w:t>Use NASA C MAPSS FD001, Python, pandas, scikit learn, Streamlit, FastAPI, MLflow, pytest and Docker Compose. Start locally on Apple Silicon. A database backed MLflow service and mounted artifact directory support tracking and registry; SQLite is sufficient for the local demonstration. Pin and verify compatible dependency versions during implementation.</w:t>
      </w:r>
    </w:p>
    <w:tbl>
      <w:tblPr>
        <w:tblW w:type="auto" w:w="0"/>
        <w:tblLayout w:type="fixed"/>
        <w:tblLook w:firstColumn="1" w:firstRow="1" w:lastColumn="0" w:lastRow="0" w:noHBand="0" w:noVBand="1" w:val="04A0"/>
      </w:tblPr>
      <w:tblGrid>
        <w:gridCol w:w="5040"/>
        <w:gridCol w:w="5040"/>
      </w:tblGrid>
      <w:tr>
        <w:trPr>
          <w:tblHeader/>
        </w:trPr>
        <w:tc>
          <w:tcPr>
            <w:tcW w:type="dxa" w:w="2016"/>
            <w:tcBorders>
              <w:top w:val="single" w:sz="4" w:color="D9D9D9"/>
              <w:left w:val="single" w:sz="4" w:color="D9D9D9"/>
              <w:bottom w:val="single" w:sz="4" w:color="D9D9D9"/>
              <w:right w:val="single" w:sz="4" w:color="D9D9D9"/>
            </w:tcBorders>
            <w:shd w:fill="DCE6F1"/>
          </w:tcPr>
          <w:p>
            <w:pPr>
              <w:spacing w:after="100" w:before="100"/>
            </w:pPr>
            <w:r>
              <w:rPr>
                <w:b/>
                <w:sz w:val="18"/>
              </w:rPr>
              <w:t>Phase</w:t>
            </w:r>
          </w:p>
        </w:tc>
        <w:tc>
          <w:tcPr>
            <w:tcW w:type="dxa" w:w="7776"/>
            <w:tcBorders>
              <w:top w:val="single" w:sz="4" w:color="D9D9D9"/>
              <w:left w:val="single" w:sz="4" w:color="D9D9D9"/>
              <w:bottom w:val="single" w:sz="4" w:color="D9D9D9"/>
              <w:right w:val="single" w:sz="4" w:color="D9D9D9"/>
            </w:tcBorders>
            <w:shd w:fill="DCE6F1"/>
          </w:tcPr>
          <w:p>
            <w:pPr>
              <w:spacing w:after="100" w:before="100"/>
            </w:pPr>
            <w:r>
              <w:rPr>
                <w:b/>
                <w:sz w:val="18"/>
              </w:rPr>
              <w:t>Required outcome</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18"/>
              </w:rPr>
              <w:t>A  Core MVP</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18"/>
              </w:rPr>
              <w:t>Validated data pipeline, engine separated validation, baseline and candidate model, MLflow runs, API, feature and RUL UI, Docker startup and meaningful tests.</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18"/>
              </w:rPr>
              <w:t>B  MLOps completion</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18"/>
              </w:rPr>
              <w:t>Prediction audit log, monitoring report, simulated drift, retraining candidate workflow, explicit promotion and rollback.</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18"/>
              </w:rPr>
              <w:t>C  Optional extensions</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18"/>
              </w:rPr>
              <w:t>LSTM comparison, calibrated prediction intervals, cloud deployment and additional C MAPSS subsets.</w:t>
            </w:r>
          </w:p>
        </w:tc>
      </w:tr>
    </w:tbl>
    <w:p>
      <w:pPr>
        <w:pStyle w:val="Heading2"/>
      </w:pPr>
      <w:r>
        <w:t>Users and boundaries</w:t>
      </w:r>
    </w:p>
    <w:p>
      <w:r>
        <w:t>Viewer: inspect engines, features and results. Developer: ingest data, train and test. Model maintainer: review candidates, promote versions and roll back. For the local MVP these are workflows performed by one person; authentication and role enforcement are deferred. Exclude live aircraft integration, automatic maintenance orders and production availability guarantees.</w:t>
      </w:r>
    </w:p>
    <w:p>
      <w:r>
        <w:br w:type="page"/>
      </w:r>
    </w:p>
    <w:p>
      <w:pPr>
        <w:pStyle w:val="Heading1"/>
      </w:pPr>
      <w:r>
        <w:t>Data and feature requirements</w:t>
      </w:r>
    </w:p>
    <w:p>
      <w:pPr>
        <w:pStyle w:val="Heading2"/>
      </w:pPr>
      <w:r>
        <w:t>Source and schema</w:t>
      </w:r>
    </w:p>
    <w:p>
      <w:r>
        <w:t>Use the original FD001 training trajectories, truncated test trajectories and supplied test RUL labels. Retain the source README and dataset citation. Record file checksums, acquisition date and parser version. Validate the downloaded archive against its own documentation before accepting row counts or column mappings.</w:t>
      </w:r>
    </w:p>
    <w:tbl>
      <w:tblPr>
        <w:tblW w:type="auto" w:w="0"/>
        <w:tblLayout w:type="fixed"/>
        <w:tblLook w:firstColumn="1" w:firstRow="1" w:lastColumn="0" w:lastRow="0" w:noHBand="0" w:noVBand="1" w:val="04A0"/>
      </w:tblPr>
      <w:tblGrid>
        <w:gridCol w:w="5040"/>
        <w:gridCol w:w="5040"/>
      </w:tblGrid>
      <w:tr>
        <w:trPr>
          <w:tblHeader/>
        </w:trPr>
        <w:tc>
          <w:tcPr>
            <w:tcW w:type="dxa" w:w="2304"/>
            <w:tcBorders>
              <w:top w:val="single" w:sz="4" w:color="D9D9D9"/>
              <w:left w:val="single" w:sz="4" w:color="D9D9D9"/>
              <w:bottom w:val="single" w:sz="4" w:color="D9D9D9"/>
              <w:right w:val="single" w:sz="4" w:color="D9D9D9"/>
            </w:tcBorders>
            <w:shd w:fill="DCE6F1"/>
          </w:tcPr>
          <w:p>
            <w:pPr>
              <w:spacing w:after="100" w:before="100"/>
            </w:pPr>
            <w:r>
              <w:rPr>
                <w:b/>
                <w:sz w:val="18"/>
              </w:rPr>
              <w:t>Field</w:t>
            </w:r>
          </w:p>
        </w:tc>
        <w:tc>
          <w:tcPr>
            <w:tcW w:type="dxa" w:w="7488"/>
            <w:tcBorders>
              <w:top w:val="single" w:sz="4" w:color="D9D9D9"/>
              <w:left w:val="single" w:sz="4" w:color="D9D9D9"/>
              <w:bottom w:val="single" w:sz="4" w:color="D9D9D9"/>
              <w:right w:val="single" w:sz="4" w:color="D9D9D9"/>
            </w:tcBorders>
            <w:shd w:fill="DCE6F1"/>
          </w:tcPr>
          <w:p>
            <w:pPr>
              <w:spacing w:after="100" w:before="100"/>
            </w:pPr>
            <w:r>
              <w:rPr>
                <w:b/>
                <w:sz w:val="18"/>
              </w:rPr>
              <w:t>Requirement</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18"/>
              </w:rPr>
              <w:t>engine_id</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18"/>
              </w:rPr>
              <w:t>Positive integer; unique only within a dataset split. Never use as a predictive feature.</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18"/>
              </w:rPr>
              <w:t>cycle</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18"/>
              </w:rPr>
              <w:t>Positive integer, increasing within each engine; engine_id and cycle uniquely identify a row.</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18"/>
              </w:rPr>
              <w:t>setting_1 to setting_3</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18"/>
              </w:rPr>
              <w:t>Numeric operating settings. Retain in raw data; training configuration selects useful inputs.</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18"/>
              </w:rPr>
              <w:t>sensor_1 to sensor_21</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18"/>
              </w:rPr>
              <w:t>Numeric simulated sensor channels. Display documented names and units only when verified; otherwise retain generic identifiers.</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18"/>
              </w:rPr>
              <w:t>rul_cycles</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18"/>
              </w:rPr>
              <w:t>Training label derived from full run to failure; supplied endpoint label for each official test engine. Excluded from inference requests.</w:t>
            </w:r>
          </w:p>
        </w:tc>
      </w:tr>
    </w:tbl>
    <w:p>
      <w:r>
        <w:t>FR01  Import whitespace separated source files and a CSV equivalent; remove empty trailing columns only when confirmed empty. Reject missing required columns, nonfinite values, duplicate keys and invalid cycle order with actionable errors. Do not silently discard invalid rows.</w:t>
      </w:r>
    </w:p>
    <w:p>
      <w:r>
        <w:t>FR02  For training, calculate RUL = final recorded cycle of that engine minus current cycle. For official test endpoints, use the supplied RUL file aligned to engine IDs; the last observed test cycle is not failure.</w:t>
      </w:r>
    </w:p>
    <w:p>
      <w:r>
        <w:t>FR03  Split complete training engines into development training and validation groups using a fixed seed, for example 80 and 20 engines when the verified source has 100. Save engine membership. Keep the official test set untouched until model selection is complete.</w:t>
      </w:r>
    </w:p>
    <w:p>
      <w:r>
        <w:t>FR04  Fit constant feature removal, imputation if later enabled, scaling if needed, and feature selection using training engines only. Persist every transform with the model. Never use future cycles or engine final lifetime as input.</w:t>
      </w:r>
    </w:p>
    <w:p>
      <w:r>
        <w:t>FR05  Create causal rolling mean and standard deviation over the latest 5 and 10 observed rows within each engine. Use minimum one observation and standard deviation with ddof=0. State that windows count observations; flag cycle gaps. Apply identical logic in training and serving.</w:t>
      </w:r>
    </w:p>
    <w:p>
      <w:r>
        <w:t>FR06  Default to uncapped RUL labels and nonnegative predictions. A capped target is an optional separate experiment; report its cap, output interpretation and metrics separately. Do not label capped estimates as unrestricted lifetime.</w:t>
      </w:r>
    </w:p>
    <w:p>
      <w:pPr>
        <w:pStyle w:val="Heading2"/>
      </w:pPr>
      <w:r>
        <w:t>Validation and reproducibility</w:t>
      </w:r>
    </w:p>
    <w:p>
      <w:r>
        <w:t>Store a data validation report, schema version, feature list and order, source checksums, random seed, split manifest and configuration. The same source files and configuration must reproduce feature matrices and splits. Raw source data remains immutable.</w:t>
      </w:r>
    </w:p>
    <w:p>
      <w:r>
        <w:br w:type="page"/>
      </w:r>
    </w:p>
    <w:p>
      <w:pPr>
        <w:pStyle w:val="Heading1"/>
      </w:pPr>
      <w:r>
        <w:t>Model training and evaluation</w:t>
      </w:r>
    </w:p>
    <w:p>
      <w:r>
        <w:t>FR07  Train a DummyRegressor mean baseline and a Random Forest regressor candidate. Use the same engine splits and evaluation rows. A cycle only baseline is an optional diagnostic to assess how much sensors add beyond age.</w:t>
      </w:r>
    </w:p>
    <w:p>
      <w:r>
        <w:t>FR08  Select hyperparameters on validation engines or grouped cross validation within development data. Score one reproducible cutoff per validation engine, sampled before model selection, to approximate truncated test histories. Report cutoff policy and seed.</w:t>
      </w:r>
    </w:p>
    <w:p>
      <w:r>
        <w:t>FR09  Report endpoint MAE and RMSE in cycles, mean signed error, and the fraction of endpoint predictions exceeding actual RUL by more than 20 cycles. Define error as predicted minus actual, so positive error means overestimation. Include sample counts and per engine results.</w:t>
      </w:r>
    </w:p>
    <w:p>
      <w:r>
        <w:t>FR10  Report trajectory metrics separately from endpoint metrics. Per row metrics can overweight long lived engines; include engine averaged errors. Test trajectory truth, if derived for analysis, equals supplied endpoint RUL plus final observed cycle minus current cycle.</w:t>
      </w:r>
    </w:p>
    <w:p>
      <w:r>
        <w:t>FR11  Log parameters, metrics, evaluation tables, plots, model bundle, feature schema, dependency lock file, Git commit and data identifiers to MLflow. Use a documented input signature and a serving example.</w:t>
      </w:r>
    </w:p>
    <w:p>
      <w:pPr>
        <w:pStyle w:val="Heading2"/>
      </w:pPr>
      <w:r>
        <w:t>Proposed model acceptance gate</w:t>
      </w:r>
    </w:p>
    <w:p>
      <w:r>
        <w:t>These are project design targets, not achieved results. On fixed validation endpoints, require candidate MAE at least 5 percent below the mean baseline and RMSE no worse than baseline. When replacing a champion, also require MAE no worse than champion and the overestimation fraction no more than 0.02 higher in absolute terms. If any gate fails, keep the existing champion and record the failed candidate. Revisit gates only through a documented configuration change.</w:t>
      </w:r>
    </w:p>
    <w:p>
      <w:r>
        <w:t>For the first release, freeze model selection before opening official test labels. Publish the final test results whether strong or weak; do not tune against them. Use the official test results for the portfolio report rather than repeated promotion decisions.</w:t>
      </w:r>
    </w:p>
    <w:p>
      <w:pPr>
        <w:pStyle w:val="Heading2"/>
      </w:pPr>
      <w:r>
        <w:t>Explainability and limitations</w:t>
      </w:r>
    </w:p>
    <w:p>
      <w:r>
        <w:t>FR12  Show training feature importance as a global model diagnostic. If permutation importance is added, calculate it on validation engines. Do not label global importance as an explanation of a particular engine prediction.</w:t>
      </w:r>
    </w:p>
    <w:p>
      <w:r>
        <w:t>A point estimate is not a confidence interval. The MVP displays no probability of failure or uncertainty band. A later interval feature requires calibration on separate engines, a documented nominal coverage and measured held out coverage. RUL estimates need not decline monotonically as new evidence arrives; explain this in the UI.</w:t>
      </w:r>
    </w:p>
    <w:p>
      <w:r>
        <w:br w:type="page"/>
      </w:r>
    </w:p>
    <w:p>
      <w:pPr>
        <w:pStyle w:val="Heading1"/>
      </w:pPr>
      <w:r>
        <w:t>User interface requirements</w:t>
      </w:r>
    </w:p>
    <w:p>
      <w:pPr>
        <w:pStyle w:val="Heading2"/>
      </w:pPr>
      <w:r>
        <w:t>Engine explorer</w:t>
      </w:r>
    </w:p>
    <w:p>
      <w:r>
        <w:t>UI01  Sidebar provides dataset split, engine ID, observed cycle cutoff and active model version. Load a bundled sample without requiring an upload. The cutoff prevents any later cycle reaching feature generation or inference.</w:t>
      </w:r>
    </w:p>
    <w:p>
      <w:r>
        <w:t>UI02  The main result shows predicted RUL in cycles, current observed cycle, data quality status and model version. A secondary demo badge shows Normal above 50 cycles, Watch above 20 through 50, and Review at or below 20. These configurable bands are illustrative, not aviation limits.</w:t>
      </w:r>
    </w:p>
    <w:p>
      <w:r>
        <w:t>UI03  Show a timestamped prediction receipt, observed history length and model data domain. State that operating cycles cannot be converted to calendar days without an external usage assumption.</w:t>
      </w:r>
    </w:p>
    <w:p>
      <w:r>
        <w:t>UI04  Provide a feature panel with raw latest sensor values, derived rolling values, feature names, window sizes and missing value status. Distinguish raw values from scaled model inputs. Offer a CSV download of the actual feature vector used.</w:t>
      </w:r>
    </w:p>
    <w:p>
      <w:r>
        <w:t>UI05  Plot selected sensor histories through the cutoff. A separate RUL plot shows predictions available through that cutoff. Actual RUL appears only in explicitly labelled retrospective evaluation mode when ground truth exists; hide actual final lifetime from inference views.</w:t>
      </w:r>
    </w:p>
    <w:p>
      <w:pPr>
        <w:pStyle w:val="Heading2"/>
      </w:pPr>
      <w:r>
        <w:t>Upload and batch scoring</w:t>
      </w:r>
    </w:p>
    <w:p>
      <w:r>
        <w:t>UI06  Accept CSV histories with the documented raw schema, up to 10 MB and 50000 rows by default. Validate before scoring. Show column and row errors, unsupported values and cycle gaps. A standalone feature slider is optional and must be labelled hypothetical; rolling features require a coherent history.</w:t>
      </w:r>
    </w:p>
    <w:p>
      <w:r>
        <w:t>UI07  Batch mode scores the last observed cycle of each uploaded engine. Display engine ID, cycle, predicted cycles remaining, band, model version and warnings. Allow export and distinguish dataset split in all engine keys.</w:t>
      </w:r>
    </w:p>
    <w:p>
      <w:pPr>
        <w:pStyle w:val="Heading2"/>
      </w:pPr>
      <w:r>
        <w:t>Screen composition</w:t>
      </w:r>
    </w:p>
    <w:tbl>
      <w:tblPr>
        <w:tblW w:type="auto" w:w="0"/>
        <w:tblLayout w:type="fixed"/>
        <w:tblLook w:firstColumn="1" w:firstRow="1" w:lastColumn="0" w:lastRow="0" w:noHBand="0" w:noVBand="1" w:val="04A0"/>
      </w:tblPr>
      <w:tblGrid>
        <w:gridCol w:w="5040"/>
        <w:gridCol w:w="5040"/>
      </w:tblGrid>
      <w:tr>
        <w:trPr>
          <w:tblHeader/>
        </w:trPr>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18"/>
              </w:rPr>
              <w:t>Area</w:t>
            </w:r>
          </w:p>
        </w:tc>
        <w:tc>
          <w:tcPr>
            <w:tcW w:type="dxa" w:w="7632"/>
            <w:tcBorders>
              <w:top w:val="single" w:sz="4" w:color="D9D9D9"/>
              <w:left w:val="single" w:sz="4" w:color="D9D9D9"/>
              <w:bottom w:val="single" w:sz="4" w:color="D9D9D9"/>
              <w:right w:val="single" w:sz="4" w:color="D9D9D9"/>
            </w:tcBorders>
            <w:shd w:fill="DCE6F1"/>
          </w:tcPr>
          <w:p>
            <w:pPr>
              <w:spacing w:after="100" w:before="100"/>
            </w:pPr>
            <w:r>
              <w:rPr>
                <w:b/>
                <w:sz w:val="18"/>
              </w:rPr>
              <w:t>Contents</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Top row</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Engine selector and cutoff, model version, Predict button</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Summary row</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Predicted RUL, observed cycle, demo band, data quality</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Analysis tabs</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Sensor trends | Input features | RUL history | Model evaluation</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Bottom area</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Upload or batch export, prediction receipt, limitations and source citation</w:t>
            </w:r>
          </w:p>
        </w:tc>
      </w:tr>
    </w:tbl>
    <w:p>
      <w:r>
        <w:t>UI08  Clear previous predictions whenever engine, cutoff, upload or model changes. On timeout or validation failure, show an error without presenting an old result as current. Units and chart axes must remain visible.</w:t>
      </w:r>
    </w:p>
    <w:p>
      <w:r>
        <w:br w:type="page"/>
      </w:r>
    </w:p>
    <w:p>
      <w:pPr>
        <w:pStyle w:val="Heading1"/>
      </w:pPr>
      <w:r>
        <w:t>Serving and solution architecture</w:t>
      </w:r>
    </w:p>
    <w:p>
      <w:pPr>
        <w:pStyle w:val="Heading2"/>
      </w:pPr>
      <w:r>
        <w:t>Component boundaries</w:t>
      </w:r>
    </w:p>
    <w:p>
      <w:r>
        <w:t>Source files flow into validation and causal feature generation, then into engine separated training and evaluation. Accepted model bundles are registered in MLflow. FastAPI loads a pinned approved version; Streamlit sends observed histories to FastAPI. Predictions and validation outcomes feed the audit log and monitoring job. Training runs separately from online inference.</w:t>
      </w:r>
    </w:p>
    <w:tbl>
      <w:tblPr>
        <w:tblW w:type="auto" w:w="0"/>
        <w:tblLayout w:type="fixed"/>
        <w:tblLook w:firstColumn="1" w:firstRow="1" w:lastColumn="0" w:lastRow="0" w:noHBand="0" w:noVBand="1" w:val="04A0"/>
      </w:tblPr>
      <w:tblGrid>
        <w:gridCol w:w="5040"/>
        <w:gridCol w:w="5040"/>
      </w:tblGrid>
      <w:tr>
        <w:trPr>
          <w:tblHeader/>
        </w:trPr>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18"/>
              </w:rPr>
              <w:t>Component</w:t>
            </w:r>
          </w:p>
        </w:tc>
        <w:tc>
          <w:tcPr>
            <w:tcW w:type="dxa" w:w="7632"/>
            <w:tcBorders>
              <w:top w:val="single" w:sz="4" w:color="D9D9D9"/>
              <w:left w:val="single" w:sz="4" w:color="D9D9D9"/>
              <w:bottom w:val="single" w:sz="4" w:color="D9D9D9"/>
              <w:right w:val="single" w:sz="4" w:color="D9D9D9"/>
            </w:tcBorders>
            <w:shd w:fill="DCE6F1"/>
          </w:tcPr>
          <w:p>
            <w:pPr>
              <w:spacing w:after="100" w:before="100"/>
            </w:pPr>
            <w:r>
              <w:rPr>
                <w:b/>
                <w:sz w:val="18"/>
              </w:rPr>
              <w:t>Responsibility</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Streamlit UI</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Engine selection, upload, feature inspection, plots and export; no duplicated model preprocessing.</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FastAPI service</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Input validation, shared feature builder, prediction, version metadata and request logging.</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Training pipeline</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Data checks, grouped splits, baseline, candidate fitting, evaluation and model registration.</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MLflow</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Experiment tracking, model artifacts, registry versions and champion or candidate aliases.</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Local storage</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18"/>
              </w:rPr>
              <w:t>Immutable data, split manifests, SQLite tracking database, artifact volume and prediction logs.</w:t>
            </w:r>
          </w:p>
        </w:tc>
      </w:tr>
    </w:tbl>
    <w:p>
      <w:pPr>
        <w:pStyle w:val="Heading2"/>
      </w:pPr>
      <w:r>
        <w:t>API contracts</w:t>
      </w:r>
    </w:p>
    <w:p>
      <w:r>
        <w:t>API01  GET /health returns process status. GET /ready returns success only after the selected model and matching feature schema load. GET /model returns version, feature schema, training domain and bundle metadata.</w:t>
      </w:r>
    </w:p>
    <w:p>
      <w:r>
        <w:t>API02  POST /predict accepts schema_version, dataset_id, engine_id and ordered observations containing cycle, three settings and 21 sensors. It rejects duplicate cycles, nonfinite values, multiple engines and unsupported schema versions with HTTP 422.</w:t>
      </w:r>
    </w:p>
    <w:p>
      <w:r>
        <w:t>API03  A successful response contains request_id, engine_id, observed_cycle, predicted_rul_cycles, band, model_name, model_version, feature_schema_version, computed_features, warnings and UTC timestamp. Missing model readiness returns HTTP 503.</w:t>
      </w:r>
    </w:p>
    <w:p>
      <w:r>
        <w:t>API04  POST /predict/batch accepts multiple valid histories and returns per engine results and errors; one invalid engine must not silently invalidate successful results. Enforce the same row and size limits as the UI.</w:t>
      </w:r>
    </w:p>
    <w:p>
      <w:pPr>
        <w:pStyle w:val="Heading2"/>
      </w:pPr>
      <w:r>
        <w:t>Model loading and deployment</w:t>
      </w:r>
    </w:p>
    <w:p>
      <w:r>
        <w:t>Resolve the champion alias to an immutable model version at service startup and log that version. Promotion requires an explicit restart or reload followed by readiness and smoke checks; requests never mix models within a batch. Mount MLflow storage persistently. Docker Compose starts UI, API and tracking services with health checks; use CPU compatible images and verify an Apple Silicon build.</w:t>
      </w:r>
    </w:p>
    <w:p>
      <w:r>
        <w:t>Record inference latency and handle uploads in memory or temporary storage with cleanup. Restrict local service exposure; do not expose unauthenticated MLflow or uploads publicly. No cloud account, paid API or GPU is required for the core RUL project.</w:t>
      </w:r>
    </w:p>
    <w:p>
      <w:r>
        <w:br w:type="page"/>
      </w:r>
    </w:p>
    <w:p>
      <w:pPr>
        <w:pStyle w:val="Heading1"/>
      </w:pPr>
      <w:r>
        <w:t>MLOps and monitoring requirements</w:t>
      </w:r>
    </w:p>
    <w:p>
      <w:r>
        <w:t>ML01  Version code in Git and pin dependencies. Keep raw datasets, secrets, virtual environments and large artifacts out of Git. Provide reproducible download instructions, checksums, sample input and an environment example.</w:t>
      </w:r>
    </w:p>
    <w:p>
      <w:r>
        <w:t>ML02  A pull request CI job runs schema, label, feature, leakage and API tests on a small fixture. Run a deterministic small training smoke test; run full training separately through manual workflow dispatch or a documented local command.</w:t>
      </w:r>
    </w:p>
    <w:p>
      <w:r>
        <w:t>ML03  Register passing models as immutable versions with run ID and evaluation references. Assign candidate and champion aliases. Promotion is a maintainer action after tests and model gates pass; retain the previous version for rollback.</w:t>
      </w:r>
    </w:p>
    <w:p>
      <w:r>
        <w:t>ML04  Log request ID, engine and dataset identifiers, observed cycle, schema and model versions, prediction, validation status, latency and timestamp. Save only the minimal feature snapshot needed for reproducibility and document local retention, initially 30 days.</w:t>
      </w:r>
    </w:p>
    <w:p>
      <w:pPr>
        <w:pStyle w:val="Heading2"/>
      </w:pPr>
      <w:r>
        <w:t>Monitoring policy</w:t>
      </w:r>
    </w:p>
    <w:tbl>
      <w:tblPr>
        <w:tblW w:type="auto" w:w="0"/>
        <w:tblLayout w:type="fixed"/>
        <w:tblLook w:firstColumn="1" w:firstRow="1" w:lastColumn="0" w:lastRow="0" w:noHBand="0" w:noVBand="1" w:val="04A0"/>
      </w:tblPr>
      <w:tblGrid>
        <w:gridCol w:w="5040"/>
        <w:gridCol w:w="5040"/>
      </w:tblGrid>
      <w:tr>
        <w:trPr>
          <w:tblHeader/>
        </w:trPr>
        <w:tc>
          <w:tcPr>
            <w:tcW w:type="dxa" w:w="2016"/>
            <w:tcBorders>
              <w:top w:val="single" w:sz="4" w:color="D9D9D9"/>
              <w:left w:val="single" w:sz="4" w:color="D9D9D9"/>
              <w:bottom w:val="single" w:sz="4" w:color="D9D9D9"/>
              <w:right w:val="single" w:sz="4" w:color="D9D9D9"/>
            </w:tcBorders>
            <w:shd w:fill="DCE6F1"/>
          </w:tcPr>
          <w:p>
            <w:pPr>
              <w:spacing w:after="100" w:before="100"/>
            </w:pPr>
            <w:r>
              <w:rPr>
                <w:b/>
                <w:sz w:val="18"/>
              </w:rPr>
              <w:t>Signal</w:t>
            </w:r>
          </w:p>
        </w:tc>
        <w:tc>
          <w:tcPr>
            <w:tcW w:type="dxa" w:w="7776"/>
            <w:tcBorders>
              <w:top w:val="single" w:sz="4" w:color="D9D9D9"/>
              <w:left w:val="single" w:sz="4" w:color="D9D9D9"/>
              <w:bottom w:val="single" w:sz="4" w:color="D9D9D9"/>
              <w:right w:val="single" w:sz="4" w:color="D9D9D9"/>
            </w:tcBorders>
            <w:shd w:fill="DCE6F1"/>
          </w:tcPr>
          <w:p>
            <w:pPr>
              <w:spacing w:after="100" w:before="100"/>
            </w:pPr>
            <w:r>
              <w:rPr>
                <w:b/>
                <w:sz w:val="18"/>
              </w:rPr>
              <w:t>Initial rule and response</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18"/>
              </w:rPr>
              <w:t>Input quality</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18"/>
              </w:rPr>
              <w:t>Reject invalid requests immediately. Summarise missing fields, rejected requests and cycle gaps daily.</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18"/>
              </w:rPr>
              <w:t>Feature drift</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18"/>
              </w:rPr>
              <w:t>Daily batch report when at least 500 eligible records across at least 20 engines exist. Compare selected feature PSI against frozen training bins; flag PSI above 0.20 on at least 3 features for 2 consecutive reports.</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18"/>
              </w:rPr>
              <w:t>Prediction drift</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18"/>
              </w:rPr>
              <w:t>Track prediction distribution and demo band proportions. Compare at similar engine ages; changing fleet age alone can change RUL distribution.</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18"/>
              </w:rPr>
              <w:t>Delayed performance</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18"/>
              </w:rPr>
              <w:t>Once failure outcomes exist for at least 20 distinct engines, score stored predictions at a fixed endpoint policy. Flag MAE above 1.20 times reference MAE for 2 consecutive eligible reports.</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18"/>
              </w:rPr>
              <w:t>Service health</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18"/>
              </w:rPr>
              <w:t>Record error rate, readiness and p95 latency. Alert in demo logs if p95 exceeds 2 seconds for a qualifying 100 request local benchmark.</w:t>
            </w:r>
          </w:p>
        </w:tc>
      </w:tr>
    </w:tbl>
    <w:p>
      <w:r>
        <w:t>Drift thresholds and sample counts are provisional demonstration settings. Repeated cycles from one engine are correlated and must not be treated as independent fleet evidence. Compare matched age bands and report engine counts. Do not infer model degradation from feature drift alone.</w:t>
      </w:r>
    </w:p>
    <w:p>
      <w:r>
        <w:t>ML05  A confirmed drift or performance alert creates a retraining request. Retrain only when new approved labelled run to failure data exist and pass checks; otherwise mark awaiting labels. Use a 7 day cooldown and prevent overlapping jobs. Schedule triggers do not manufacture new training data.</w:t>
      </w:r>
    </w:p>
    <w:p>
      <w:r>
        <w:t>ML06  Retraining creates a candidate and comparative report using a fixed reference holdout plus a separate recent labelled engine holdout. Never auto promote merely because drift was detected. Keep the champion on failure; support rollback to the retained previous version and record the reason.</w:t>
      </w:r>
    </w:p>
    <w:p>
      <w:r>
        <w:br w:type="page"/>
      </w:r>
    </w:p>
    <w:p>
      <w:pPr>
        <w:pStyle w:val="Heading1"/>
      </w:pPr>
      <w:r>
        <w:t>Verification and acceptance</w:t>
      </w:r>
    </w:p>
    <w:tbl>
      <w:tblPr>
        <w:tblW w:type="auto" w:w="0"/>
        <w:tblLayout w:type="fixed"/>
        <w:tblLook w:firstColumn="1" w:firstRow="1" w:lastColumn="0" w:lastRow="0" w:noHBand="0" w:noVBand="1" w:val="04A0"/>
      </w:tblPr>
      <w:tblGrid>
        <w:gridCol w:w="5040"/>
        <w:gridCol w:w="5040"/>
      </w:tblGrid>
      <w:tr>
        <w:trPr>
          <w:tblHeader/>
        </w:trPr>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18"/>
              </w:rPr>
              <w:t>ID</w:t>
            </w:r>
          </w:p>
        </w:tc>
        <w:tc>
          <w:tcPr>
            <w:tcW w:type="dxa" w:w="8208"/>
            <w:tcBorders>
              <w:top w:val="single" w:sz="4" w:color="D9D9D9"/>
              <w:left w:val="single" w:sz="4" w:color="D9D9D9"/>
              <w:bottom w:val="single" w:sz="4" w:color="D9D9D9"/>
              <w:right w:val="single" w:sz="4" w:color="D9D9D9"/>
            </w:tcBorders>
            <w:shd w:fill="DCE6F1"/>
          </w:tcPr>
          <w:p>
            <w:pPr>
              <w:spacing w:after="100" w:before="100"/>
            </w:pPr>
            <w:r>
              <w:rPr>
                <w:b/>
                <w:sz w:val="18"/>
              </w:rPr>
              <w:t>Acceptance scenario</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AT01  Data</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A duplicate engine cycle, NaN sensor and missing column are each rejected with a specific error. Source checksums and split membership are recorded.</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AT02  Targets</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A fixture ending at cycle 5 gives RUL 4 at cycle 1 and 0 at cycle 5. A truncated test engine with endpoint label 12 retains RUL 12 at its last observed cycle.</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AT03  Leakage</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Training and validation engine sets are disjoint. Adding future rows does not change a feature vector calculated at an earlier cutoff. Transform fitting never sees held out engines.</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AT04  Features</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Training and API feature vectors match for an identical history. Rolling statistics reset at engine boundaries and handle the first cycle consistently.</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AT05  Evaluation</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Baseline and candidate are scored on identical saved endpoints. Metric reports show counts, target policy, MAE, RMSE and overestimation fraction.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AT06  Serving</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A valid sample produces nonnegative finite RUL with model version. Invalid payload returns 422; unloaded model returns 503. Batch output reports invalid engines explicitly.</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AT07  UI</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Selecting an engine shows features and RUL. Changing cutoff removes future history and invalidates the old result. Actual lifetime is hidden outside evaluation mode.</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AT08  Release</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Clean checkout plus documented setup starts all services and reproduces a sample prediction. Promoted version appears in API and UI after reload; rollback restores the previous version.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AT09  Monitoring</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18"/>
              </w:rPr>
              <w:t>A controlled drift simulation generates an alert with sample counts. Insufficient samples show insufficient evidence. Missing labels block retraining; failed candidate gates block promotion.</w:t>
            </w:r>
          </w:p>
        </w:tc>
      </w:tr>
    </w:tbl>
    <w:p>
      <w:pPr>
        <w:pStyle w:val="Heading2"/>
      </w:pPr>
      <w:r>
        <w:t>Nonfunctional targets</w:t>
      </w:r>
    </w:p>
    <w:p>
      <w:r>
        <w:t>On the documented local reference machine, target warm single engine prediction p95 below 2 seconds over 100 requests and latest cycle batch scoring for 100 engines below 30 seconds. Record hardware, payload sizes and measured results. These are targets, not guarantees. UI failures must be readable and logs must support diagnosis without exposing secrets.</w:t>
      </w:r>
    </w:p>
    <w:p>
      <w:pPr>
        <w:pStyle w:val="Heading2"/>
      </w:pPr>
      <w:r>
        <w:t>Completion evidence</w:t>
      </w:r>
    </w:p>
    <w:p>
      <w:r>
        <w:t>Deliver a public repository with README, architecture explanation, setup commands, data citation, model card, screenshots, evaluation report and test output. A reviewer should reproduce a prediction, inspect its input features, trace its model version, compare baseline results and understand limitations without private company data.</w:t>
      </w:r>
    </w:p>
    <w:p>
      <w:r>
        <w:br w:type="page"/>
      </w:r>
    </w:p>
    <w:p>
      <w:pPr>
        <w:pStyle w:val="Heading1"/>
      </w:pPr>
      <w:r>
        <w:t>Build plan and operating guide</w:t>
      </w:r>
    </w:p>
    <w:tbl>
      <w:tblPr>
        <w:tblW w:type="auto" w:w="0"/>
        <w:tblLayout w:type="fixed"/>
        <w:tblLook w:firstColumn="1" w:firstRow="1" w:lastColumn="0" w:lastRow="0" w:noHBand="0" w:noVBand="1" w:val="04A0"/>
      </w:tblPr>
      <w:tblGrid>
        <w:gridCol w:w="5040"/>
        <w:gridCol w:w="5040"/>
      </w:tblGrid>
      <w:tr>
        <w:trPr>
          <w:tblHeader/>
        </w:trPr>
        <w:tc>
          <w:tcPr>
            <w:tcW w:type="dxa" w:w="1728"/>
            <w:tcBorders>
              <w:top w:val="single" w:sz="4" w:color="D9D9D9"/>
              <w:left w:val="single" w:sz="4" w:color="D9D9D9"/>
              <w:bottom w:val="single" w:sz="4" w:color="D9D9D9"/>
              <w:right w:val="single" w:sz="4" w:color="D9D9D9"/>
            </w:tcBorders>
            <w:shd w:fill="DCE6F1"/>
          </w:tcPr>
          <w:p>
            <w:pPr>
              <w:spacing w:after="100" w:before="100"/>
            </w:pPr>
            <w:r>
              <w:rPr>
                <w:b/>
                <w:sz w:val="18"/>
              </w:rPr>
              <w:t>When</w:t>
            </w:r>
          </w:p>
        </w:tc>
        <w:tc>
          <w:tcPr>
            <w:tcW w:type="dxa" w:w="8064"/>
            <w:tcBorders>
              <w:top w:val="single" w:sz="4" w:color="D9D9D9"/>
              <w:left w:val="single" w:sz="4" w:color="D9D9D9"/>
              <w:bottom w:val="single" w:sz="4" w:color="D9D9D9"/>
              <w:right w:val="single" w:sz="4" w:color="D9D9D9"/>
            </w:tcBorders>
            <w:shd w:fill="DCE6F1"/>
          </w:tcPr>
          <w:p>
            <w:pPr>
              <w:spacing w:after="100" w:before="100"/>
            </w:pPr>
            <w:r>
              <w:rPr>
                <w:b/>
                <w:sz w:val="18"/>
              </w:rPr>
              <w:t>Deliverable and exit condition</w:t>
            </w:r>
          </w:p>
        </w:tc>
      </w:tr>
      <w:tr>
        <w:tc>
          <w:tcPr>
            <w:tcW w:type="dxa" w:w="1728"/>
            <w:tcBorders>
              <w:top w:val="single" w:sz="4" w:color="D9D9D9"/>
              <w:left w:val="single" w:sz="4" w:color="D9D9D9"/>
              <w:bottom w:val="single" w:sz="4" w:color="D9D9D9"/>
              <w:right w:val="single" w:sz="4" w:color="D9D9D9"/>
            </w:tcBorders>
          </w:tcPr>
          <w:p>
            <w:pPr>
              <w:spacing w:after="100" w:before="100"/>
            </w:pPr>
            <w:r>
              <w:rPr>
                <w:b w:val="0"/>
                <w:sz w:val="18"/>
              </w:rPr>
              <w:t>Day 1</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18"/>
              </w:rPr>
              <w:t>Acquire FD001, validate schema, derive labels, save engine split and produce sensor trend EDA.</w:t>
            </w:r>
          </w:p>
        </w:tc>
      </w:tr>
      <w:tr>
        <w:tc>
          <w:tcPr>
            <w:tcW w:type="dxa" w:w="1728"/>
            <w:tcBorders>
              <w:top w:val="single" w:sz="4" w:color="D9D9D9"/>
              <w:left w:val="single" w:sz="4" w:color="D9D9D9"/>
              <w:bottom w:val="single" w:sz="4" w:color="D9D9D9"/>
              <w:right w:val="single" w:sz="4" w:color="D9D9D9"/>
            </w:tcBorders>
          </w:tcPr>
          <w:p>
            <w:pPr>
              <w:spacing w:after="100" w:before="100"/>
            </w:pPr>
            <w:r>
              <w:rPr>
                <w:b w:val="0"/>
                <w:sz w:val="18"/>
              </w:rPr>
              <w:t>Day 2</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18"/>
              </w:rPr>
              <w:t>Build causal features, baseline and Random Forest. Log MLflow runs; freeze endpoint evaluation policy.</w:t>
            </w:r>
          </w:p>
        </w:tc>
      </w:tr>
      <w:tr>
        <w:tc>
          <w:tcPr>
            <w:tcW w:type="dxa" w:w="1728"/>
            <w:tcBorders>
              <w:top w:val="single" w:sz="4" w:color="D9D9D9"/>
              <w:left w:val="single" w:sz="4" w:color="D9D9D9"/>
              <w:bottom w:val="single" w:sz="4" w:color="D9D9D9"/>
              <w:right w:val="single" w:sz="4" w:color="D9D9D9"/>
            </w:tcBorders>
          </w:tcPr>
          <w:p>
            <w:pPr>
              <w:spacing w:after="100" w:before="100"/>
            </w:pPr>
            <w:r>
              <w:rPr>
                <w:b w:val="0"/>
                <w:sz w:val="18"/>
              </w:rPr>
              <w:t>Day 3</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18"/>
              </w:rPr>
              <w:t>Implement shared prediction pipeline and FastAPI. Verify feature parity, invalid input handling and versioned responses.</w:t>
            </w:r>
          </w:p>
        </w:tc>
      </w:tr>
      <w:tr>
        <w:tc>
          <w:tcPr>
            <w:tcW w:type="dxa" w:w="1728"/>
            <w:tcBorders>
              <w:top w:val="single" w:sz="4" w:color="D9D9D9"/>
              <w:left w:val="single" w:sz="4" w:color="D9D9D9"/>
              <w:bottom w:val="single" w:sz="4" w:color="D9D9D9"/>
              <w:right w:val="single" w:sz="4" w:color="D9D9D9"/>
            </w:tcBorders>
          </w:tcPr>
          <w:p>
            <w:pPr>
              <w:spacing w:after="100" w:before="100"/>
            </w:pPr>
            <w:r>
              <w:rPr>
                <w:b w:val="0"/>
                <w:sz w:val="18"/>
              </w:rPr>
              <w:t>Day 4</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18"/>
              </w:rPr>
              <w:t>Build Streamlit engine explorer, feature table, RUL card, charts and CSV export.</w:t>
            </w:r>
          </w:p>
        </w:tc>
      </w:tr>
      <w:tr>
        <w:tc>
          <w:tcPr>
            <w:tcW w:type="dxa" w:w="1728"/>
            <w:tcBorders>
              <w:top w:val="single" w:sz="4" w:color="D9D9D9"/>
              <w:left w:val="single" w:sz="4" w:color="D9D9D9"/>
              <w:bottom w:val="single" w:sz="4" w:color="D9D9D9"/>
              <w:right w:val="single" w:sz="4" w:color="D9D9D9"/>
            </w:tcBorders>
          </w:tcPr>
          <w:p>
            <w:pPr>
              <w:spacing w:after="100" w:before="100"/>
            </w:pPr>
            <w:r>
              <w:rPr>
                <w:b w:val="0"/>
                <w:sz w:val="18"/>
              </w:rPr>
              <w:t>Day 5</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18"/>
              </w:rPr>
              <w:t>Package Docker Compose, CI smoke tests, reproducible README and demo script. Freeze model and report official test results.</w:t>
            </w:r>
          </w:p>
        </w:tc>
      </w:tr>
      <w:tr>
        <w:tc>
          <w:tcPr>
            <w:tcW w:type="dxa" w:w="1728"/>
            <w:tcBorders>
              <w:top w:val="single" w:sz="4" w:color="D9D9D9"/>
              <w:left w:val="single" w:sz="4" w:color="D9D9D9"/>
              <w:bottom w:val="single" w:sz="4" w:color="D9D9D9"/>
              <w:right w:val="single" w:sz="4" w:color="D9D9D9"/>
            </w:tcBorders>
          </w:tcPr>
          <w:p>
            <w:pPr>
              <w:spacing w:after="100" w:before="100"/>
            </w:pPr>
            <w:r>
              <w:rPr>
                <w:b w:val="0"/>
                <w:sz w:val="18"/>
              </w:rPr>
              <w:t>After MVP</w:t>
            </w:r>
          </w:p>
        </w:tc>
        <w:tc>
          <w:tcPr>
            <w:tcW w:type="dxa" w:w="8064"/>
            <w:tcBorders>
              <w:top w:val="single" w:sz="4" w:color="D9D9D9"/>
              <w:left w:val="single" w:sz="4" w:color="D9D9D9"/>
              <w:bottom w:val="single" w:sz="4" w:color="D9D9D9"/>
              <w:right w:val="single" w:sz="4" w:color="D9D9D9"/>
            </w:tcBorders>
          </w:tcPr>
          <w:p>
            <w:pPr>
              <w:spacing w:after="100" w:before="100"/>
            </w:pPr>
            <w:r>
              <w:rPr>
                <w:b w:val="0"/>
                <w:sz w:val="18"/>
              </w:rPr>
              <w:t>Complete drift simulation, labelled feedback, candidate retraining, promotion and rollback demonstration. LSTM and cloud hosting remain optional.</w:t>
            </w:r>
          </w:p>
        </w:tc>
      </w:tr>
    </w:tbl>
    <w:p>
      <w:r>
        <w:t>Protect the working demo first; label unfinished features as planned. A complete local MVP is preferable to claiming a monitoring or retraining capability that has not been demonstrated.</w:t>
      </w:r>
    </w:p>
    <w:p>
      <w:pPr>
        <w:pStyle w:val="Heading2"/>
      </w:pPr>
      <w:r>
        <w:t>Repository organisation</w:t>
      </w:r>
    </w:p>
    <w:p>
      <w:r>
        <w:t>Use app/ for Streamlit, api/ for FastAPI, src/ for shared data and model code, pipelines/ for training and monitoring commands, tests/ for fixtures and checks, configs/ for versioned policies, and docs/ for requirements and results. Keep data/ and artifacts/ local and excluded from Git except for small permitted fixtures.</w:t>
      </w:r>
    </w:p>
    <w:p>
      <w:pPr>
        <w:pStyle w:val="Heading2"/>
      </w:pPr>
      <w:r>
        <w:t>Five minute demonstration</w:t>
      </w:r>
    </w:p>
    <w:p>
      <w:r>
        <w:t>1. Select a sample engine and inspect its observed sensor history. 2. Show the derived features and predict RUL. 3. Advance the cutoff and explain the changed estimate. 4. Open the evaluation view and discuss overestimation risk. 5. Show the MLflow run and model version. Demonstrate rollback or drift only if implemented and tested.</w:t>
      </w:r>
    </w:p>
    <w:p>
      <w:pPr>
        <w:pStyle w:val="Heading2"/>
      </w:pPr>
      <w:r>
        <w:t>Design decisions to retain</w:t>
      </w:r>
    </w:p>
    <w:p>
      <w:r>
        <w:t>Predictions are in operating cycles. Raw history is the primary input because rolling features need context. The initial service supports FD001 only and warns on unsupported domains. SQLite and mounted files keep the portfolio affordable. Authentication, cloud hosting, live streaming, uncertainty intervals and LSTM modelling are later scope.</w:t>
      </w:r>
    </w:p>
    <w:p>
      <w:pPr>
        <w:pStyle w:val="Heading2"/>
      </w:pPr>
      <w:r>
        <w:t>Primary references</w:t>
      </w:r>
    </w:p>
    <w:p>
      <w:r>
        <w:t>NASA Prognostics Center of Excellence Data Set Repository — C MAPSS simulation data and dataset documentation. https://www.nasa.gov/intelligent-systems-division/discovery-and-systems-health/pcoe/pcoe-data-set-repository/</w:t>
      </w:r>
    </w:p>
    <w:p>
      <w:r>
        <w:t>MLflow Model Registry — model versions, tags and aliases. https://mlflow.org/docs/latest/model-registry</w:t>
      </w:r>
    </w:p>
    <w:p>
      <w:r>
        <w:t>MLflow Experiment Tracking — recording training runs and artifacts. https://mlflow.org/docs/latest/tracking/</w:t>
      </w:r>
    </w:p>
    <w:p>
      <w:r>
        <w:t>References checked on 23 October 2026. Implementation must verify the downloaded data README and installed package APIs. Thresholds, performance goals, architecture and delivery phases in this document are proposed project requirements.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Turbofan RUL   |   Functional requirements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