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公司金融管理委员会秘书处</w:t>
        <w:br/>
        <w:t>周报（2026年4月14日—2026年4月18日）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9"/>
        </w:rPr>
        <w:t>样本用途：页面化MVP / 并行运行首周期输入样本（测试用）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一、本周期总览</w:t>
      </w:r>
    </w:p>
    <w:p>
      <w:pPr>
        <w:spacing w:after="40"/>
        <w:ind w:left="283"/>
      </w:pPr>
      <w:r>
        <w:rPr>
          <w:rFonts w:ascii="Microsoft YaHei" w:hAnsi="Microsoft YaHei" w:eastAsia="Microsoft YaHei"/>
        </w:rPr>
        <w:t>• 本周待办事项共58项，其中推进中17项、已关闭/暂停/终止40项、新增事项1项。</w:t>
      </w:r>
    </w:p>
    <w:p>
      <w:pPr>
        <w:spacing w:after="40"/>
        <w:ind w:left="283"/>
      </w:pPr>
      <w:r>
        <w:rPr>
          <w:rFonts w:ascii="Microsoft YaHei" w:hAnsi="Microsoft YaHei" w:eastAsia="Microsoft YaHei"/>
        </w:rPr>
        <w:t>• 本周重点关注事项共4项：指标偏离1项、黄灯持续2项、专题逾期1项。</w:t>
      </w:r>
    </w:p>
    <w:p>
      <w:pPr>
        <w:spacing w:after="40"/>
        <w:ind w:left="283"/>
      </w:pPr>
      <w:r>
        <w:rPr>
          <w:rFonts w:ascii="Microsoft YaHei" w:hAnsi="Microsoft YaHei" w:eastAsia="Microsoft YaHei"/>
        </w:rPr>
        <w:t>• 本周未申请正式升级，建议由PMO继续跟踪汽车零部件授信投放及学校行业中试推进。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二、本周期重点事项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责任部门</w:t>
            </w:r>
          </w:p>
        </w:tc>
        <w:tc>
          <w:tcPr>
            <w:tcW w:type="dxa" w:w="4082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本周进展</w:t>
            </w:r>
          </w:p>
        </w:tc>
        <w:tc>
          <w:tcPr>
            <w:tcW w:type="dxa" w:w="1304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汽车零部件授信投放推进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公司部行业推动组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本周完成2户目标客户授信方案评审，新增储备客户3户；贷款余额净增6.8亿元，低于阶段目标15亿元。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关注（中）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逐户梳理卡点，按周跟踪投放落地。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学校行业中试推进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行业协同小组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中试启动仍未完成，核心项目储备不足，计划顺延。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关注（中）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补充项目储备计划，明确中试前置条件。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双链融合筛选专题汇报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专题工作组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原计划本周形成汇报方案，目前材料仍在整合。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关注（中）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锁定方案完成责任人与汇报时间。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战略客户样板复制推广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战略客户组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河钢样板经验已完成复盘，复制推广方案形成初稿。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正常（低）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下周提交推广节奏表。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三、申请事项</w:t>
      </w:r>
    </w:p>
    <w:p>
      <w:pPr>
        <w:ind w:left="283"/>
      </w:pPr>
      <w:r>
        <w:t>1. 本周期无正式结项申请。</w:t>
      </w:r>
    </w:p>
    <w:p>
      <w:pPr>
        <w:ind w:left="283"/>
      </w:pPr>
      <w:r>
        <w:t>2. 本周期无正式升级申请。</w:t>
      </w:r>
    </w:p>
    <w:p>
      <w:pPr>
        <w:ind w:left="283"/>
      </w:pPr>
      <w:r>
        <w:t>3. 指标偏离事项建议继续并行跟踪，暂不升级。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四、量化指标快照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69"/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1304"/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阶段目标</w:t>
            </w:r>
          </w:p>
        </w:tc>
        <w:tc>
          <w:tcPr>
            <w:tcW w:type="dxa" w:w="1304"/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当前值</w:t>
            </w:r>
          </w:p>
        </w:tc>
        <w:tc>
          <w:tcPr>
            <w:tcW w:type="dxa" w:w="1304"/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差额</w:t>
            </w:r>
          </w:p>
        </w:tc>
        <w:tc>
          <w:tcPr>
            <w:tcW w:type="dxa" w:w="1701"/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判断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汽车零部件贷款余额净增（亿元）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15.0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6.8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-8.2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偏离目标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战客口径人民币贷款余额（亿元）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500.0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518.1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+18.1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已达成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外币低息存款月日均净增（亿元）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100.0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439.0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+339.0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已超目标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五、说明</w:t>
      </w:r>
    </w:p>
    <w:p>
      <w:pPr>
        <w:ind w:left="283"/>
      </w:pPr>
      <w:r>
        <w:t>• 本文件用于数字员工实验室首周期页面化MVP与并行运行测试。</w:t>
      </w:r>
    </w:p>
    <w:p>
      <w:pPr>
        <w:ind w:left="283"/>
      </w:pPr>
      <w:r>
        <w:t>• 若仅收到周报正文，系统仍可先运行；若台账或指标缺失，页面中需显式标注“部分齐套”。</w:t>
      </w:r>
    </w:p>
    <w:p>
      <w:pPr>
        <w:ind w:left="283"/>
      </w:pPr>
      <w:r>
        <w:t>• 本样本可直接上传并作为 2026-04-14 当周测试输入。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