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56E"/>
          <w:sz w:val="36"/>
        </w:rPr>
        <w:t>CREDIT APPRAISAL MEMORANDUM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56E"/>
          </w:tcPr>
          <w:p>
            <w:r>
              <w:rPr>
                <w:b/>
                <w:color w:val="FFFFFF"/>
                <w:sz w:val="20"/>
              </w:rPr>
              <w:t>Borrower</w:t>
            </w:r>
          </w:p>
        </w:tc>
        <w:tc>
          <w:tcPr>
            <w:tcW w:type="dxa" w:w="2351"/>
            <w:shd w:val="clear" w:color="auto" w:fill="1A356E"/>
          </w:tcPr>
          <w:p>
            <w:r>
              <w:rPr>
                <w:b/>
                <w:color w:val="FFFFFF"/>
                <w:sz w:val="20"/>
              </w:rPr>
              <w:t>Loan Amount</w:t>
            </w:r>
          </w:p>
        </w:tc>
        <w:tc>
          <w:tcPr>
            <w:tcW w:type="dxa" w:w="2351"/>
            <w:shd w:val="clear" w:color="auto" w:fill="1A356E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val="clear" w:color="auto" w:fill="1A356E"/>
          </w:tcPr>
          <w:p>
            <w:r>
              <w:rPr>
                <w:b/>
                <w:color w:val="FFFFFF"/>
                <w:sz w:val="20"/>
              </w:rPr>
              <w:t>Risk Grade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Bhushan Steel Ltd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₹500 Crore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11 Mar 2026</w:t>
            </w:r>
          </w:p>
        </w:tc>
        <w:tc>
          <w:tcPr>
            <w:tcW w:type="dxa" w:w="2351"/>
          </w:tcPr>
          <w:p>
            <w:r>
              <w:rPr>
                <w:b/>
                <w:color w:val="C00000"/>
                <w:sz w:val="22"/>
              </w:rPr>
              <w:t>D (74/100)</w:t>
            </w:r>
          </w:p>
        </w:tc>
      </w:tr>
    </w:tbl>
    <w:p/>
    <w:p>
      <w:pPr>
        <w:spacing w:before="280"/>
        <w:pBdr>
          <w:bottom w:val="single" w:sz="6" w:space="1" w:color="2E75B6"/>
        </w:pBdr>
      </w:pPr>
      <w:r>
        <w:rPr>
          <w:b/>
          <w:color w:val="2E75B6"/>
          <w:sz w:val="26"/>
        </w:rPr>
        <w:t>1. Executive Summary</w:t>
      </w:r>
    </w:p>
    <w:p>
      <w:pPr>
        <w:jc w:val="center"/>
      </w:pPr>
      <w:r>
        <w:rPr>
          <w:b/>
          <w:color w:val="C00000"/>
          <w:sz w:val="32"/>
        </w:rPr>
        <w:t>RECOMMENDATION: REJECT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BF3FB"/>
          </w:tcPr>
          <w:p>
            <w:r>
              <w:rPr>
                <w:b/>
                <w:sz w:val="20"/>
              </w:rPr>
              <w:t>Overall Risk Score</w:t>
            </w:r>
          </w:p>
        </w:tc>
        <w:tc>
          <w:tcPr>
            <w:tcW w:type="dxa" w:w="4703"/>
            <w:shd w:val="clear" w:color="auto" w:fill="EBF3FB"/>
          </w:tcPr>
          <w:p>
            <w:r>
              <w:rPr>
                <w:color w:val="C00000"/>
                <w:sz w:val="20"/>
              </w:rPr>
              <w:t>74.5/100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Risk Grade</w:t>
            </w:r>
          </w:p>
        </w:tc>
        <w:tc>
          <w:tcPr>
            <w:tcW w:type="dxa" w:w="4703"/>
          </w:tcPr>
          <w:p>
            <w:r>
              <w:rPr>
                <w:color w:val="378630"/>
                <w:sz w:val="20"/>
              </w:rPr>
              <w:t>D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b/>
                <w:sz w:val="20"/>
              </w:rPr>
              <w:t>Recommended Rate</w:t>
            </w:r>
          </w:p>
        </w:tc>
        <w:tc>
          <w:tcPr>
            <w:tcW w:type="dxa" w:w="4703"/>
            <w:shd w:val="clear" w:color="auto" w:fill="EBF3FB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Character Score (C1)</w:t>
            </w:r>
          </w:p>
        </w:tc>
        <w:tc>
          <w:tcPr>
            <w:tcW w:type="dxa" w:w="4703"/>
          </w:tcPr>
          <w:p>
            <w:r>
              <w:rPr>
                <w:color w:val="C00000"/>
                <w:sz w:val="20"/>
              </w:rPr>
              <w:t>100/100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b/>
                <w:sz w:val="20"/>
              </w:rPr>
              <w:t>Capacity Score (C2)</w:t>
            </w:r>
          </w:p>
        </w:tc>
        <w:tc>
          <w:tcPr>
            <w:tcW w:type="dxa" w:w="4703"/>
            <w:shd w:val="clear" w:color="auto" w:fill="EBF3FB"/>
          </w:tcPr>
          <w:p>
            <w:r>
              <w:rPr>
                <w:color w:val="C00000"/>
                <w:sz w:val="20"/>
              </w:rPr>
              <w:t>95/100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Capital Score (C3)</w:t>
            </w:r>
          </w:p>
        </w:tc>
        <w:tc>
          <w:tcPr>
            <w:tcW w:type="dxa" w:w="4703"/>
          </w:tcPr>
          <w:p>
            <w:r>
              <w:rPr>
                <w:color w:val="E07000"/>
                <w:sz w:val="20"/>
              </w:rPr>
              <w:t>55/100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b/>
                <w:sz w:val="20"/>
              </w:rPr>
              <w:t>Collateral Score (C4)</w:t>
            </w:r>
          </w:p>
        </w:tc>
        <w:tc>
          <w:tcPr>
            <w:tcW w:type="dxa" w:w="4703"/>
            <w:shd w:val="clear" w:color="auto" w:fill="EBF3FB"/>
          </w:tcPr>
          <w:p>
            <w:r>
              <w:rPr>
                <w:color w:val="378630"/>
                <w:sz w:val="20"/>
              </w:rPr>
              <w:t>25/100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Conditions Score (C5)</w:t>
            </w:r>
          </w:p>
        </w:tc>
        <w:tc>
          <w:tcPr>
            <w:tcW w:type="dxa" w:w="4703"/>
          </w:tcPr>
          <w:p>
            <w:r>
              <w:rPr>
                <w:color w:val="E07000"/>
                <w:sz w:val="20"/>
              </w:rPr>
              <w:t>60/100</w:t>
            </w:r>
          </w:p>
        </w:tc>
      </w:tr>
    </w:tbl>
    <w:p>
      <w:pPr>
        <w:spacing w:before="280"/>
        <w:pBdr>
          <w:bottom w:val="single" w:sz="6" w:space="1" w:color="2E75B6"/>
        </w:pBdr>
      </w:pPr>
      <w:r>
        <w:rPr>
          <w:b/>
          <w:color w:val="2E75B6"/>
          <w:sz w:val="26"/>
        </w:rPr>
        <w:t>2. Five Cs of Credit Analysis</w:t>
      </w:r>
    </w:p>
    <w:p>
      <w:r>
        <w:rPr>
          <w:b/>
          <w:color w:val="C00000"/>
          <w:sz w:val="22"/>
        </w:rPr>
        <w:t>C1 — Character: 100/100 risk</w:t>
      </w:r>
    </w:p>
    <w:p>
      <w:pPr>
        <w:ind w:left="432"/>
      </w:pPr>
      <w:r>
        <w:rPr>
          <w:color w:val="606060"/>
          <w:sz w:val="18"/>
        </w:rPr>
        <w:t>Promoter integrity, litigation, regulatory actions, fraud history</w:t>
      </w:r>
    </w:p>
    <w:p>
      <w:pPr>
        <w:pStyle w:val="ListBullet"/>
        <w:ind w:left="432"/>
      </w:pPr>
      <w:r>
        <w:rPr>
          <w:sz w:val="20"/>
        </w:rPr>
        <w:t>🔴 CRITICAL: ED/CBI/SFIO investigation found against promoter — automatic red flag</w:t>
      </w:r>
    </w:p>
    <w:p>
      <w:pPr>
        <w:pStyle w:val="ListBullet"/>
        <w:ind w:left="432"/>
      </w:pPr>
      <w:r>
        <w:rPr>
          <w:sz w:val="20"/>
        </w:rPr>
        <w:t>🟠 Active NCLT/DRT litigation found — significant legal risk</w:t>
      </w:r>
    </w:p>
    <w:p>
      <w:pPr>
        <w:pStyle w:val="ListBullet"/>
        <w:ind w:left="432"/>
      </w:pPr>
      <w:r>
        <w:rPr>
          <w:sz w:val="20"/>
        </w:rPr>
        <w:t>🟠 NPA history found — repayment character concern</w:t>
      </w:r>
    </w:p>
    <w:p>
      <w:r>
        <w:rPr>
          <w:b/>
          <w:color w:val="C00000"/>
          <w:sz w:val="22"/>
        </w:rPr>
        <w:t>C2 — Capacity: 95/100 risk</w:t>
      </w:r>
    </w:p>
    <w:p>
      <w:pPr>
        <w:ind w:left="432"/>
      </w:pPr>
      <w:r>
        <w:rPr>
          <w:color w:val="606060"/>
          <w:sz w:val="18"/>
        </w:rPr>
        <w:t>Ability to repay from cash flows — DSCR, revenue trend, GST reconciliation</w:t>
      </w:r>
    </w:p>
    <w:p>
      <w:pPr>
        <w:pStyle w:val="ListBullet"/>
        <w:ind w:left="432"/>
      </w:pPr>
      <w:r>
        <w:rPr>
          <w:sz w:val="20"/>
        </w:rPr>
        <w:t>🔴 DSCR 0.80 &lt; 1.0 — company cannot service debt from operations</w:t>
      </w:r>
    </w:p>
    <w:p>
      <w:pPr>
        <w:pStyle w:val="ListBullet"/>
        <w:ind w:left="432"/>
      </w:pPr>
      <w:r>
        <w:rPr>
          <w:sz w:val="20"/>
        </w:rPr>
        <w:t>🟠 Revenue declined 5% — negative growth trend</w:t>
      </w:r>
    </w:p>
    <w:p>
      <w:pPr>
        <w:pStyle w:val="ListBullet"/>
        <w:ind w:left="432"/>
      </w:pPr>
      <w:r>
        <w:rPr>
          <w:sz w:val="20"/>
        </w:rPr>
        <w:t>🟠 GST analysis: HIGH risk — possible revenue misrepresentation</w:t>
      </w:r>
    </w:p>
    <w:p>
      <w:r>
        <w:rPr>
          <w:b/>
          <w:color w:val="E07000"/>
          <w:sz w:val="22"/>
        </w:rPr>
        <w:t>C3 — Capital: 55/100 risk</w:t>
      </w:r>
    </w:p>
    <w:p>
      <w:pPr>
        <w:ind w:left="432"/>
      </w:pPr>
      <w:r>
        <w:rPr>
          <w:color w:val="606060"/>
          <w:sz w:val="18"/>
        </w:rPr>
        <w:t>Net worth, leverage (D/E ratio), MCA compliance</w:t>
      </w:r>
    </w:p>
    <w:p>
      <w:pPr>
        <w:pStyle w:val="ListBullet"/>
        <w:ind w:left="432"/>
      </w:pPr>
      <w:r>
        <w:rPr>
          <w:sz w:val="20"/>
        </w:rPr>
        <w:t>🟠 D/E ratio 3.8x — high leverage</w:t>
      </w:r>
    </w:p>
    <w:p>
      <w:pPr>
        <w:pStyle w:val="ListBullet"/>
        <w:ind w:left="432"/>
      </w:pPr>
      <w:r>
        <w:rPr>
          <w:sz w:val="20"/>
        </w:rPr>
        <w:t>🔴 Net worth ₹200Cr &lt; Loan amount ₹500Cr — inadequate capital base</w:t>
      </w:r>
    </w:p>
    <w:p>
      <w:r>
        <w:rPr>
          <w:b/>
          <w:color w:val="378630"/>
          <w:sz w:val="22"/>
        </w:rPr>
        <w:t>C4 — Collateral: 25/100 risk</w:t>
      </w:r>
    </w:p>
    <w:p>
      <w:pPr>
        <w:ind w:left="432"/>
      </w:pPr>
      <w:r>
        <w:rPr>
          <w:color w:val="606060"/>
          <w:sz w:val="18"/>
        </w:rPr>
        <w:t>Security coverage, asset quality, personal guarantees</w:t>
      </w:r>
    </w:p>
    <w:p>
      <w:pPr>
        <w:pStyle w:val="ListBullet"/>
        <w:ind w:left="432"/>
      </w:pPr>
      <w:r>
        <w:rPr>
          <w:sz w:val="20"/>
        </w:rPr>
        <w:t>🟠 Collateral coverage 1.10x — below Vivriti minimum 1.25x</w:t>
      </w:r>
    </w:p>
    <w:p>
      <w:r>
        <w:rPr>
          <w:b/>
          <w:color w:val="E07000"/>
          <w:sz w:val="22"/>
        </w:rPr>
        <w:t>C5 — Conditions: 60/100 risk</w:t>
      </w:r>
    </w:p>
    <w:p>
      <w:pPr>
        <w:ind w:left="432"/>
      </w:pPr>
      <w:r>
        <w:rPr>
          <w:color w:val="606060"/>
          <w:sz w:val="18"/>
        </w:rPr>
        <w:t>Sector outlook, macro risk, regulatory environment</w:t>
      </w:r>
    </w:p>
    <w:p>
      <w:pPr>
        <w:pStyle w:val="ListBullet"/>
        <w:ind w:left="432"/>
      </w:pPr>
      <w:r>
        <w:rPr>
          <w:sz w:val="20"/>
        </w:rPr>
        <w:t>🟠 Sector faces HIGH regulatory or market headwinds</w:t>
      </w:r>
    </w:p>
    <w:p>
      <w:pPr>
        <w:pStyle w:val="ListBullet"/>
        <w:ind w:left="432"/>
      </w:pPr>
      <w:r>
        <w:rPr>
          <w:sz w:val="20"/>
        </w:rPr>
        <w:t>🟠 Specific regulatory/policy risk identified in sector</w:t>
      </w:r>
    </w:p>
    <w:p>
      <w:pPr>
        <w:spacing w:before="280"/>
        <w:pBdr>
          <w:bottom w:val="single" w:sz="6" w:space="1" w:color="2E75B6"/>
        </w:pBdr>
      </w:pPr>
      <w:r>
        <w:rPr>
          <w:b/>
          <w:color w:val="2E75B6"/>
          <w:sz w:val="26"/>
        </w:rPr>
        <w:t>3. Financial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5F5F5"/>
          </w:tcPr>
          <w:p>
            <w:r>
              <w:rPr>
                <w:b/>
                <w:sz w:val="20"/>
              </w:rPr>
              <w:t>Revenue (Last FY)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20"/>
              </w:rPr>
              <w:t>₹1200 Cr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Revenue Growth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-5%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b/>
                <w:sz w:val="20"/>
              </w:rPr>
              <w:t>EBITDA Margin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20"/>
              </w:rPr>
              <w:t>8%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Net Worth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₹200 Cr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b/>
                <w:sz w:val="20"/>
              </w:rPr>
              <w:t>Total Debt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20"/>
              </w:rPr>
              <w:t>₹760 Cr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Debt-to-Equity Ratio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3.8x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b/>
                <w:sz w:val="20"/>
              </w:rPr>
              <w:t>DSCR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20"/>
              </w:rPr>
              <w:t>0.8x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Current Ratio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0.9x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b/>
                <w:sz w:val="20"/>
              </w:rPr>
              <w:t>Loan Amount Requested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20"/>
              </w:rPr>
              <w:t>₹500 Cr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Collateral Coverage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1.1x</w:t>
            </w:r>
          </w:p>
        </w:tc>
      </w:tr>
    </w:tbl>
    <w:p>
      <w:pPr>
        <w:spacing w:before="280"/>
        <w:pBdr>
          <w:bottom w:val="single" w:sz="6" w:space="1" w:color="2E75B6"/>
        </w:pBdr>
      </w:pPr>
      <w:r>
        <w:rPr>
          <w:b/>
          <w:color w:val="2E75B6"/>
          <w:sz w:val="26"/>
        </w:rPr>
        <w:t>4. GST &amp; Bank Reconciliation (Pillar 1 Analysis)</w:t>
      </w:r>
    </w:p>
    <w:p>
      <w:r>
        <w:rPr>
          <w:b/>
          <w:color w:val="E07000"/>
          <w:sz w:val="24"/>
        </w:rPr>
        <w:t>GST Risk Level: HIGH</w:t>
      </w:r>
    </w:p>
    <w:p>
      <w:pPr/>
      <w:r>
        <w:rPr>
          <w:b/>
        </w:rPr>
        <w:t>Flags Detected:</w:t>
      </w:r>
    </w:p>
    <w:p>
      <w:pPr>
        <w:pStyle w:val="ListBullet"/>
      </w:pPr>
      <w:r>
        <w:rPr>
          <w:sz w:val="20"/>
        </w:rPr>
        <w:t>Circular Trading — HIGH — Bank credits 42% of GST turnover</w:t>
      </w:r>
    </w:p>
    <w:p>
      <w:pPr>
        <w:spacing w:before="280"/>
        <w:pBdr>
          <w:bottom w:val="single" w:sz="6" w:space="1" w:color="2E75B6"/>
        </w:pBdr>
      </w:pPr>
      <w:r>
        <w:rPr>
          <w:b/>
          <w:color w:val="2E75B6"/>
          <w:sz w:val="26"/>
        </w:rPr>
        <w:t>5. External Research Findings (Pillar 2 — Web Research Agent)</w:t>
      </w:r>
    </w:p>
    <w:p>
      <w:r>
        <w:rPr>
          <w:b/>
          <w:sz w:val="20"/>
        </w:rPr>
        <w:t xml:space="preserve">Promoter Background: </w:t>
      </w:r>
      <w:r>
        <w:rPr>
          <w:sz w:val="20"/>
        </w:rPr>
        <w:t>Neeraj Singal faces ED investigation and NCLT insolvency</w:t>
      </w:r>
    </w:p>
    <w:p>
      <w:r>
        <w:rPr>
          <w:b/>
          <w:sz w:val="20"/>
        </w:rPr>
        <w:t xml:space="preserve">Promoter Risk Level: </w:t>
      </w:r>
      <w:r>
        <w:rPr>
          <w:color w:val="C00000"/>
          <w:sz w:val="20"/>
        </w:rPr>
        <w:t>CRITICAL</w:t>
      </w:r>
    </w:p>
    <w:p>
      <w:r>
        <w:rPr>
          <w:b/>
          <w:sz w:val="20"/>
        </w:rPr>
        <w:t xml:space="preserve">Litigation Summary: </w:t>
      </w:r>
      <w:r>
        <w:rPr>
          <w:sz w:val="20"/>
        </w:rPr>
        <w:t>NCLT insolvency petition filed</w:t>
      </w:r>
    </w:p>
    <w:p>
      <w:r>
        <w:rPr>
          <w:b/>
          <w:sz w:val="20"/>
        </w:rPr>
        <w:t xml:space="preserve">Litigation Risk Level: </w:t>
      </w:r>
      <w:r>
        <w:rPr>
          <w:color w:val="E07000"/>
          <w:sz w:val="20"/>
        </w:rPr>
        <w:t>HIGH</w:t>
      </w:r>
    </w:p>
    <w:p>
      <w:r>
        <w:rPr>
          <w:b/>
          <w:sz w:val="20"/>
        </w:rPr>
        <w:t xml:space="preserve">NPA / Default History: </w:t>
      </w:r>
      <w:r>
        <w:rPr>
          <w:sz w:val="20"/>
        </w:rPr>
        <w:t>NPA with SBI, PNB. SARFAESI initiated.</w:t>
      </w:r>
    </w:p>
    <w:p>
      <w:r>
        <w:rPr>
          <w:b/>
          <w:sz w:val="20"/>
        </w:rPr>
        <w:t xml:space="preserve">Regulatory Findings: </w:t>
      </w:r>
      <w:r>
        <w:rPr>
          <w:sz w:val="20"/>
        </w:rPr>
        <w:t>ED investigation. SFIO probe.</w:t>
      </w:r>
    </w:p>
    <w:p>
      <w:r>
        <w:rPr>
          <w:b/>
          <w:sz w:val="20"/>
        </w:rPr>
        <w:t xml:space="preserve">Sector Outlook: </w:t>
      </w:r>
      <w:r>
        <w:rPr>
          <w:sz w:val="20"/>
        </w:rPr>
        <w:t>Overcapacity and import duty risks</w:t>
      </w:r>
    </w:p>
    <w:p>
      <w:r>
        <w:rPr>
          <w:b/>
          <w:sz w:val="20"/>
        </w:rPr>
        <w:t xml:space="preserve">Key Findings: </w:t>
      </w:r>
      <w:r>
        <w:rPr>
          <w:sz w:val="20"/>
        </w:rPr>
        <w:t>Promoter under ED probe. NCLT proceedings. Multiple NPAs.</w:t>
      </w:r>
    </w:p>
    <w:p>
      <w:r>
        <w:rPr>
          <w:b/>
          <w:sz w:val="20"/>
        </w:rPr>
        <w:t xml:space="preserve">AI Recommendation: </w:t>
      </w:r>
      <w:r>
        <w:rPr>
          <w:color w:val="378630"/>
          <w:sz w:val="20"/>
        </w:rPr>
        <w:t>HALT</w:t>
      </w:r>
    </w:p>
    <w:p>
      <w:pPr>
        <w:spacing w:before="280"/>
        <w:pBdr>
          <w:bottom w:val="single" w:sz="6" w:space="1" w:color="2E75B6"/>
        </w:pBdr>
      </w:pPr>
      <w:r>
        <w:rPr>
          <w:b/>
          <w:color w:val="2E75B6"/>
          <w:sz w:val="26"/>
        </w:rPr>
        <w:t>7. Credit Officer Field Notes</w:t>
      </w:r>
    </w:p>
    <w:p>
      <w:r>
        <w:t>Site visit done. Plant operational.</w:t>
      </w:r>
    </w:p>
    <w:p>
      <w:pPr>
        <w:spacing w:before="280"/>
        <w:pBdr>
          <w:bottom w:val="single" w:sz="6" w:space="1" w:color="2E75B6"/>
        </w:pBdr>
      </w:pPr>
      <w:r>
        <w:rPr>
          <w:b/>
          <w:color w:val="2E75B6"/>
          <w:sz w:val="26"/>
        </w:rPr>
        <w:t>8. Final Credit Recommendation</w:t>
      </w:r>
    </w:p>
    <w:p>
      <w:pPr>
        <w:jc w:val="center"/>
      </w:pPr>
      <w:r>
        <w:rPr>
          <w:b/>
          <w:color w:val="C00000"/>
          <w:sz w:val="40"/>
        </w:rPr>
        <w:t>DECISION: REJECT</w:t>
      </w:r>
    </w:p>
    <w:p>
      <w:r>
        <w:rPr>
          <w:b/>
        </w:rPr>
        <w:t>Key reasons for rejection:</w:t>
      </w:r>
    </w:p>
    <w:p>
      <w:pPr>
        <w:pStyle w:val="ListBullet"/>
      </w:pPr>
      <w:r>
        <w:t>Promoter integrity concerns (ED/SFIO/NCLT) — RBI norms prohibit lending to wilful defaulters</w:t>
      </w:r>
    </w:p>
    <w:p>
      <w:pPr>
        <w:pStyle w:val="ListBullet"/>
      </w:pPr>
      <w:r>
        <w:t>Insufficient debt service capacity (DSCR below threshold)</w:t>
      </w:r>
    </w:p>
    <w:p>
      <w:pPr>
        <w:pStyle w:val="ListBullet"/>
      </w:pPr>
      <w:r>
        <w:t>Over-leveraged balance sheet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_________________________</w:t>
            </w:r>
          </w:p>
        </w:tc>
        <w:tc>
          <w:tcPr>
            <w:tcW w:type="dxa" w:w="3135"/>
          </w:tcPr>
          <w:p>
            <w:r>
              <w:t>_________________________</w:t>
            </w:r>
          </w:p>
        </w:tc>
        <w:tc>
          <w:tcPr>
            <w:tcW w:type="dxa" w:w="3135"/>
          </w:tcPr>
          <w:p>
            <w:r>
              <w:t>_________________________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Credit Analyst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Credit Manager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Credit Committee</w:t>
            </w:r>
          </w:p>
        </w:tc>
      </w:tr>
    </w:tbl>
    <w:p/>
    <w:p>
      <w:pPr>
        <w:jc w:val="center"/>
      </w:pPr>
      <w:r>
        <w:rPr>
          <w:color w:val="808080"/>
          <w:sz w:val="16"/>
        </w:rPr>
        <w:t>This Credit Appraisal Memo was generated by Intelli-Credit AI Engine on 11 March 2026 15:35. All findings are based on publicly available information and uploaded documents. This report is confidential and intended solely for internal credit committee use.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