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CARDAMOM MARKET</w:t>
      </w:r>
    </w:p>
    <w:p>
      <w:pPr>
        <w:spacing w:after="200"/>
        <w:jc w:val="center"/>
      </w:pPr>
      <w:r>
        <w:rPr>
          <w:rFonts w:ascii="Arial" w:cs="Arial" w:eastAsia="Arial" w:hAnsi="Arial"/>
          <w:b/>
          <w:bCs/>
          <w:color w:val="1B4F72"/>
          <w:sz w:val="56"/>
          <w:szCs w:val="56"/>
        </w:rPr>
        <w:t xml:space="preserve">RESEARCH REPORT</w:t>
      </w:r>
    </w:p>
    <w:p>
      <w:pPr>
        <w:spacing w:after="600"/>
        <w:jc w:val="center"/>
      </w:pPr>
      <w:r>
        <w:rPr>
          <w:rFonts w:ascii="Arial" w:cs="Arial" w:eastAsia="Arial" w:hAnsi="Arial"/>
          <w:color w:val="2980B9"/>
          <w:sz w:val="28"/>
          <w:szCs w:val="28"/>
        </w:rPr>
        <w:t xml:space="preserve">Price History, Regime Analysis &amp; Structural Drivers (2014–2026)</w:t>
      </w:r>
    </w:p>
    <w:p>
      <w:pPr>
        <w:spacing w:after="200"/>
      </w:pPr>
    </w:p>
    <w:p>
      <w:pPr>
        <w:spacing w:after="100"/>
        <w:jc w:val="center"/>
      </w:pPr>
      <w:r>
        <w:rPr>
          <w:rFonts w:ascii="Arial" w:cs="Arial" w:eastAsia="Arial" w:hAnsi="Arial"/>
          <w:color w:val="2C3E50"/>
          <w:sz w:val="24"/>
          <w:szCs w:val="24"/>
        </w:rPr>
        <w:t xml:space="preserve">Blume Ventures</w:t>
      </w:r>
    </w:p>
    <w:p>
      <w:pPr>
        <w:spacing w:after="100"/>
        <w:jc w:val="center"/>
      </w:pPr>
      <w:r>
        <w:rPr>
          <w:rFonts w:ascii="Arial" w:cs="Arial" w:eastAsia="Arial" w:hAnsi="Arial"/>
          <w:color w:val="2C3E50"/>
          <w:sz w:val="24"/>
          <w:szCs w:val="24"/>
        </w:rPr>
        <w:t xml:space="preserve">February 2026</w:t>
      </w:r>
    </w:p>
    <w:p>
      <w:pPr>
        <w:spacing w:after="100"/>
        <w:jc w:val="center"/>
      </w:pPr>
      <w:r>
        <w:rPr>
          <w:rFonts w:ascii="Arial" w:cs="Arial" w:eastAsia="Arial" w:hAnsi="Arial"/>
          <w:i/>
          <w:iCs/>
          <w:color w:val="7F8C8D"/>
          <w:sz w:val="20"/>
          <w:szCs w:val="20"/>
        </w:rPr>
        <w:t xml:space="preserve">Based on Indian Spice Board Auction Data, UN Comtrade, FAOSTAT, ENSO/ONI Climate Data</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60"/>
      </w:pPr>
    </w:p>
    <w:p>
      <w:pPr>
        <w:spacing w:after="160"/>
        <w:jc w:val="both"/>
      </w:pPr>
      <w:r>
        <w:rPr>
          <w:rFonts w:ascii="Arial" w:cs="Arial" w:eastAsia="Arial" w:hAnsi="Arial"/>
          <w:color w:val="2C3E50"/>
          <w:sz w:val="22"/>
          <w:szCs w:val="22"/>
        </w:rPr>
        <w:t xml:space="preserve">This report presents a comprehensive analysis of the Indian small cardamom market covering a twelve-year period from November 2014 to February 2026, drawing on daily auction data from the Indian Spice Board, international trade statistics from UN Comtrade and FAOSTAT, climate data from NOAA’s ENSO monitoring programme, and macroeconomic indicators including exchange rates, crude oil, and gold prices.</w:t>
      </w:r>
    </w:p>
    <w:p>
      <w:pPr>
        <w:spacing w:after="160"/>
        <w:jc w:val="both"/>
      </w:pPr>
      <w:r>
        <w:rPr>
          <w:rFonts w:ascii="Arial" w:cs="Arial" w:eastAsia="Arial" w:hAnsi="Arial"/>
          <w:color w:val="2C3E50"/>
          <w:sz w:val="22"/>
          <w:szCs w:val="22"/>
        </w:rPr>
        <w:t xml:space="preserve">The analysis identifies seven distinct price regimes, each driven by a unique combination of supply shocks, climate events, policy disruptions, and demand shifts. Cardamom prices have exhibited extraordinary volatility, ranging from a low of ₹495/kg in 2016 to an all-time high of ₹4,675/kg in 2019, representing a peak-to-trough range of over 840%.</w:t>
      </w:r>
    </w:p>
    <w:p>
      <w:pPr>
        <w:spacing w:after="160"/>
        <w:jc w:val="both"/>
      </w:pPr>
      <w:r>
        <w:rPr>
          <w:rFonts w:ascii="Arial" w:cs="Arial" w:eastAsia="Arial" w:hAnsi="Arial"/>
          <w:color w:val="2C3E50"/>
          <w:sz w:val="22"/>
          <w:szCs w:val="22"/>
        </w:rPr>
        <w:t xml:space="preserve">Five structural forces govern cardamom price dynamics: secular production growth in India (yields up 153% since 2010), a rising cost inflation floor (labour costs growing at 5.2% CAGR), a 6–8 year planting cobweb cycle, semi-predictable ENSO climate disruptions, and a pronounced intra-year seasonality pattern. A critical finding of this research is that Guatemala’s role as the source of 60–70% of global cardamom exports makes Guatemalan supply shocks the single most important regime change catalyst, as evidenced by the 2024–25 thrips-driven export collapse that triggered the current bull run.</w:t>
      </w:r>
    </w:p>
    <w:p>
      <w:pPr>
        <w:spacing w:after="160"/>
        <w:jc w:val="both"/>
      </w:pPr>
      <w:r>
        <w:rPr>
          <w:rFonts w:ascii="Arial" w:cs="Arial" w:eastAsia="Arial" w:hAnsi="Arial"/>
          <w:color w:val="2C3E50"/>
          <w:sz w:val="22"/>
          <w:szCs w:val="22"/>
        </w:rPr>
        <w:t xml:space="preserve">As of February 2026, cardamom trades at approximately ₹2,505/kg with a bear probability of just 3%, though forecasting models indicate modest near-term softening. The price-to-cost ratio of 4.3x suggests current profitability levels will incentivise new plantings, with potential supply impacts materialising by 2027–28.</w:t>
      </w:r>
    </w:p>
    <w:p>
      <w:r>
        <w:br w:type="page"/>
      </w:r>
    </w:p>
    <w:p>
      <w:pPr>
        <w:pStyle w:val="Heading1"/>
      </w:pPr>
      <w:r>
        <w:t xml:space="preserve">2. Data Sources and Methodology</w:t>
      </w:r>
    </w:p>
    <w:p>
      <w:pPr>
        <w:spacing w:after="60"/>
      </w:pPr>
    </w:p>
    <w:p>
      <w:pPr>
        <w:pStyle w:val="Heading2"/>
      </w:pPr>
      <w:r>
        <w:t xml:space="preserve">2.1 Primary Data Sources</w:t>
      </w:r>
    </w:p>
    <w:p>
      <w:pPr>
        <w:spacing w:after="60"/>
      </w:pPr>
    </w:p>
    <w:p>
      <w:pPr>
        <w:spacing w:after="140"/>
      </w:pPr>
      <w:r>
        <w:rPr>
          <w:rFonts w:ascii="Arial" w:cs="Arial" w:eastAsia="Arial" w:hAnsi="Arial"/>
          <w:b/>
          <w:bCs/>
          <w:color w:val="2C3E50"/>
          <w:sz w:val="22"/>
          <w:szCs w:val="22"/>
        </w:rPr>
        <w:t xml:space="preserve">Auction Data: </w:t>
      </w:r>
      <w:r>
        <w:rPr>
          <w:rFonts w:ascii="Arial" w:cs="Arial" w:eastAsia="Arial" w:hAnsi="Arial"/>
          <w:color w:val="2C3E50"/>
          <w:sz w:val="22"/>
          <w:szCs w:val="22"/>
        </w:rPr>
        <w:t xml:space="preserve">Daily small cardamom auction records from the Indian Spice Board, covering November 2014 to February 2026 (approximately 136 months). This includes weighted average prices, volumes arrived, volumes sold, and sell-through percentages. Daily data was aggregated to monthly frequency using quantity-weighted averages.</w:t>
      </w:r>
    </w:p>
    <w:p>
      <w:pPr>
        <w:spacing w:after="140"/>
      </w:pPr>
      <w:r>
        <w:rPr>
          <w:rFonts w:ascii="Arial" w:cs="Arial" w:eastAsia="Arial" w:hAnsi="Arial"/>
          <w:b/>
          <w:bCs/>
          <w:color w:val="2C3E50"/>
          <w:sz w:val="22"/>
          <w:szCs w:val="22"/>
        </w:rPr>
        <w:t xml:space="preserve">International Trade Data: </w:t>
      </w:r>
      <w:r>
        <w:rPr>
          <w:rFonts w:ascii="Arial" w:cs="Arial" w:eastAsia="Arial" w:hAnsi="Arial"/>
          <w:color w:val="2C3E50"/>
          <w:sz w:val="22"/>
          <w:szCs w:val="22"/>
        </w:rPr>
        <w:t xml:space="preserve">UN Comtrade bilateral trade flows for HS Code 0908 (Nutmeg, mace and cardamoms) covering 2014–2024, with 982 bilateral flow records. Supplemented by Guatemala monthly export data (124 months) and Saudi Arabia monthly import data (124 months).</w:t>
      </w:r>
    </w:p>
    <w:p>
      <w:pPr>
        <w:spacing w:after="140"/>
      </w:pPr>
      <w:r>
        <w:rPr>
          <w:rFonts w:ascii="Arial" w:cs="Arial" w:eastAsia="Arial" w:hAnsi="Arial"/>
          <w:b/>
          <w:bCs/>
          <w:color w:val="2C3E50"/>
          <w:sz w:val="22"/>
          <w:szCs w:val="22"/>
        </w:rPr>
        <w:t xml:space="preserve">Production Statistics: </w:t>
      </w:r>
      <w:r>
        <w:rPr>
          <w:rFonts w:ascii="Arial" w:cs="Arial" w:eastAsia="Arial" w:hAnsi="Arial"/>
          <w:color w:val="2C3E50"/>
          <w:sz w:val="22"/>
          <w:szCs w:val="22"/>
        </w:rPr>
        <w:t xml:space="preserve">FAOSTAT annual production, area, and yield data for Guatemala, India, and Indonesia spanning 2010–2021 (12 years).</w:t>
      </w:r>
    </w:p>
    <w:p>
      <w:pPr>
        <w:spacing w:after="140"/>
      </w:pPr>
      <w:r>
        <w:rPr>
          <w:rFonts w:ascii="Arial" w:cs="Arial" w:eastAsia="Arial" w:hAnsi="Arial"/>
          <w:b/>
          <w:bCs/>
          <w:color w:val="2C3E50"/>
          <w:sz w:val="22"/>
          <w:szCs w:val="22"/>
        </w:rPr>
        <w:t xml:space="preserve">Climate Data: </w:t>
      </w:r>
      <w:r>
        <w:rPr>
          <w:rFonts w:ascii="Arial" w:cs="Arial" w:eastAsia="Arial" w:hAnsi="Arial"/>
          <w:color w:val="2C3E50"/>
          <w:sz w:val="22"/>
          <w:szCs w:val="22"/>
        </w:rPr>
        <w:t xml:space="preserve">NOAA’s Oceanic Niño Index (ONI) from 1950–2025, providing 3-month rolling ENSO anomaly readings. Idukki district (Kerala) daily weather including rainfall, temperature, and humidity. Guatemala daily weather data for cross-reference.</w:t>
      </w:r>
    </w:p>
    <w:p>
      <w:pPr>
        <w:spacing w:after="140"/>
      </w:pPr>
      <w:r>
        <w:rPr>
          <w:rFonts w:ascii="Arial" w:cs="Arial" w:eastAsia="Arial" w:hAnsi="Arial"/>
          <w:b/>
          <w:bCs/>
          <w:color w:val="2C3E50"/>
          <w:sz w:val="22"/>
          <w:szCs w:val="22"/>
        </w:rPr>
        <w:t xml:space="preserve">Macroeconomic Indicators: </w:t>
      </w:r>
      <w:r>
        <w:rPr>
          <w:rFonts w:ascii="Arial" w:cs="Arial" w:eastAsia="Arial" w:hAnsi="Arial"/>
          <w:color w:val="2C3E50"/>
          <w:sz w:val="22"/>
          <w:szCs w:val="22"/>
        </w:rPr>
        <w:t xml:space="preserve">USD/INR exchange rates, crude oil prices, gold prices, and Nifty50 index values at daily frequency.</w:t>
      </w:r>
    </w:p>
    <w:p>
      <w:pPr>
        <w:spacing w:after="140"/>
      </w:pPr>
      <w:r>
        <w:rPr>
          <w:rFonts w:ascii="Arial" w:cs="Arial" w:eastAsia="Arial" w:hAnsi="Arial"/>
          <w:b/>
          <w:bCs/>
          <w:color w:val="2C3E50"/>
          <w:sz w:val="22"/>
          <w:szCs w:val="22"/>
        </w:rPr>
        <w:t xml:space="preserve">Demand Proxies: </w:t>
      </w:r>
      <w:r>
        <w:rPr>
          <w:rFonts w:ascii="Arial" w:cs="Arial" w:eastAsia="Arial" w:hAnsi="Arial"/>
          <w:color w:val="2C3E50"/>
          <w:sz w:val="22"/>
          <w:szCs w:val="22"/>
        </w:rPr>
        <w:t xml:space="preserve">Google Trends monthly search intensity data for terms including “cardamom price,” “elaichi price,” “cardamom plantation,” and “cardamom farming” (144 months, 2014–2025).</w:t>
      </w:r>
    </w:p>
    <w:p>
      <w:pPr>
        <w:pStyle w:val="Heading2"/>
      </w:pPr>
      <w:r>
        <w:t xml:space="preserve">2.2 Analytical Approach</w:t>
      </w:r>
    </w:p>
    <w:p>
      <w:pPr>
        <w:spacing w:after="60"/>
      </w:pPr>
    </w:p>
    <w:p>
      <w:pPr>
        <w:spacing w:after="160"/>
        <w:jc w:val="both"/>
      </w:pPr>
      <w:r>
        <w:rPr>
          <w:rFonts w:ascii="Arial" w:cs="Arial" w:eastAsia="Arial" w:hAnsi="Arial"/>
          <w:color w:val="2C3E50"/>
          <w:sz w:val="22"/>
          <w:szCs w:val="22"/>
        </w:rPr>
        <w:t xml:space="preserve">The analysis employs a multi-method framework combining regime identification through structural break analysis, lead-lag correlation studies across climate and trade variables, walk-forward validated machine learning forecasting models (Gradient Boosting, Ridge Regression, Bayesian Ridge), and a five-forces structural framework that synthesises long-term, cyclical, and seasonal price drivers. Missing values were handled through forward-fill and back-fill procedures; ENSO data was resampled from 3-month rolling averages to daily frequency; and all correlations were computed on complete-case bases.</w:t>
      </w:r>
    </w:p>
    <w:p>
      <w:r>
        <w:br w:type="page"/>
      </w:r>
    </w:p>
    <w:p>
      <w:pPr>
        <w:pStyle w:val="Heading1"/>
      </w:pPr>
      <w:r>
        <w:t xml:space="preserve">3. Cardamom Price History: Seven Regimes (2014–2026)</w:t>
      </w:r>
    </w:p>
    <w:p>
      <w:pPr>
        <w:spacing w:after="60"/>
      </w:pPr>
    </w:p>
    <w:p>
      <w:pPr>
        <w:spacing w:after="160"/>
        <w:jc w:val="both"/>
      </w:pPr>
      <w:r>
        <w:rPr>
          <w:rFonts w:ascii="Arial" w:cs="Arial" w:eastAsia="Arial" w:hAnsi="Arial"/>
          <w:color w:val="2C3E50"/>
          <w:sz w:val="22"/>
          <w:szCs w:val="22"/>
        </w:rPr>
        <w:t xml:space="preserve">The twelve-year price history of Indian small cardamom can be decomposed into seven distinct regimes, each characterised by unique supply-demand dynamics, external shocks, and market sentiment. The table below summarises these regimes: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200"/>
        <w:gridCol w:w="35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Regime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Price Range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Price</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Characteristics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Stable 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Nov 2014 – Dec 2016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₹495–₹1,359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₹750–850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Post-2013 correction with good harvests, stable supply, and muted demand.</w:t>
            </w:r>
          </w:p>
        </w:tc>
      </w:tr>
      <w:tr>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Pre-Flood Rally</w:t>
            </w:r>
          </w:p>
        </w:tc>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Jan 2017 – Jul 2018</w:t>
            </w:r>
          </w:p>
        </w:tc>
        <w:tc>
          <w:tcPr>
            <w:tcW w:type="dxa" w:w="1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₹782–₹1,393</w:t>
            </w:r>
          </w:p>
        </w:tc>
        <w:tc>
          <w:tcPr>
            <w:tcW w:type="dxa" w:w="1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₹1,047</w:t>
            </w:r>
          </w:p>
        </w:tc>
        <w:tc>
          <w:tcPr>
            <w:tcW w:type="dxa" w:w="3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Gradual price appreciation driven by growing demand and normal seasonal tightening.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Flood Spike &amp; Peak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Aug 2018 – Dec 2019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₹1,326–₹4,675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₹2,496</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Kerala floods devastated crops; supply shock drove prices to all-time highs above ₹4,000/kg.</w:t>
            </w:r>
          </w:p>
        </w:tc>
      </w:tr>
      <w:tr>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COVID Crash</w:t>
            </w:r>
          </w:p>
        </w:tc>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Jan 2020 – Dec 2020</w:t>
            </w:r>
          </w:p>
        </w:tc>
        <w:tc>
          <w:tcPr>
            <w:tcW w:type="dxa" w:w="1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₹1,070–₹4,058</w:t>
            </w:r>
          </w:p>
        </w:tc>
        <w:tc>
          <w:tcPr>
            <w:tcW w:type="dxa" w:w="1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₹2,085</w:t>
            </w:r>
          </w:p>
        </w:tc>
        <w:tc>
          <w:tcPr>
            <w:tcW w:type="dxa" w:w="3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Pandemic crushed demand, disrupted auctions, and collapsed export logistics.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Post-COVID Bear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Jan 2021 – Jun 2023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₹861–₹1,711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₹1,182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Oversupply from recovery plantings and good monsoons created a prolonged bear market.</w:t>
            </w:r>
          </w:p>
        </w:tc>
      </w:tr>
      <w:tr>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Bottoming &amp; Recovery</w:t>
            </w:r>
          </w:p>
        </w:tc>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Jul 2023 – Jun 2024</w:t>
            </w:r>
          </w:p>
        </w:tc>
        <w:tc>
          <w:tcPr>
            <w:tcW w:type="dxa" w:w="1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₹868–₹2,221</w:t>
            </w:r>
          </w:p>
        </w:tc>
        <w:tc>
          <w:tcPr>
            <w:tcW w:type="dxa" w:w="1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₹1,444</w:t>
            </w:r>
          </w:p>
        </w:tc>
        <w:tc>
          <w:tcPr>
            <w:tcW w:type="dxa" w:w="3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Prices bottomed near cost floors; new Middle East demand and inventory drawdowns began recovery.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Bull Run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Jul 2024 – Feb 2026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₹2,037–₹3,182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₹2,529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Guatemala supply collapse from thrips infestation, tight Indian supply, and rupee depreciation.</w:t>
            </w:r>
          </w:p>
        </w:tc>
      </w:tr>
    </w:tbl>
    <w:p>
      <w:pPr>
        <w:spacing w:after="60"/>
      </w:pPr>
    </w:p>
    <w:p>
      <w:pPr>
        <w:pStyle w:val="Heading2"/>
      </w:pPr>
      <w:r>
        <w:t xml:space="preserve">3.1 Annual Market Statistics</w:t>
      </w:r>
    </w:p>
    <w:p>
      <w:pPr>
        <w:spacing w:after="60"/>
      </w:pPr>
    </w:p>
    <w:p>
      <w:pPr>
        <w:spacing w:after="160"/>
        <w:jc w:val="both"/>
      </w:pPr>
      <w:r>
        <w:rPr>
          <w:rFonts w:ascii="Arial" w:cs="Arial" w:eastAsia="Arial" w:hAnsi="Arial"/>
          <w:color w:val="2C3E50"/>
          <w:sz w:val="22"/>
          <w:szCs w:val="22"/>
        </w:rPr>
        <w:t xml:space="preserve">The following table presents annual statistics compiled from auction data, offering a year-by-year view of price evolution, market activity, and environmental conditions:</w:t>
      </w:r>
    </w:p>
    <w:p>
      <w:pPr>
        <w:spacing w:after="6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80"/>
        <w:gridCol w:w="1060"/>
        <w:gridCol w:w="860"/>
        <w:gridCol w:w="860"/>
        <w:gridCol w:w="1060"/>
        <w:gridCol w:w="1060"/>
        <w:gridCol w:w="1060"/>
        <w:gridCol w:w="860"/>
        <w:gridCol w:w="1360"/>
      </w:tblGrid>
      <w:tr>
        <w:tc>
          <w:tcPr>
            <w:tcW w:type="dxa" w:w="7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Year</w:t>
            </w:r>
          </w:p>
        </w:tc>
        <w:tc>
          <w:tcPr>
            <w:tcW w:type="dxa" w:w="1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Price</w:t>
            </w:r>
          </w:p>
        </w:tc>
        <w:tc>
          <w:tcPr>
            <w:tcW w:type="dxa" w:w="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Min</w:t>
            </w:r>
          </w:p>
        </w:tc>
        <w:tc>
          <w:tcPr>
            <w:tcW w:type="dxa" w:w="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w:t>
            </w:r>
          </w:p>
        </w:tc>
        <w:tc>
          <w:tcPr>
            <w:tcW w:type="dxa" w:w="1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YoY %</w:t>
            </w:r>
          </w:p>
        </w:tc>
        <w:tc>
          <w:tcPr>
            <w:tcW w:type="dxa" w:w="1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Vol (MT)</w:t>
            </w:r>
          </w:p>
        </w:tc>
        <w:tc>
          <w:tcPr>
            <w:tcW w:type="dxa" w:w="1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Sell %</w:t>
            </w:r>
          </w:p>
        </w:tc>
        <w:tc>
          <w:tcPr>
            <w:tcW w:type="dxa" w:w="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Rain mm</w:t>
            </w:r>
          </w:p>
        </w:tc>
        <w:tc>
          <w:tcPr>
            <w:tcW w:type="dxa" w:w="1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 (Cr)</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2015</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₹632</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₹570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₹862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-17.4%</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17,519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97.3%</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1,755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₹1,108</w:t>
            </w:r>
          </w:p>
        </w:tc>
      </w:tr>
      <w:tr>
        <w:tc>
          <w:tcPr>
            <w:tcW w:type="dxa" w:w="78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2016</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₹824</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₹495</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₹1,359</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+30.3%</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26,469</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95.1%</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1,770</w:t>
            </w:r>
          </w:p>
        </w:tc>
        <w:tc>
          <w:tcPr>
            <w:tcW w:type="dxa" w:w="13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₹2,181</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2017</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₹1,047</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₹782</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₹1,393</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+27.1%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23,199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97.7%</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3,002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₹2,430</w:t>
            </w:r>
          </w:p>
        </w:tc>
      </w:tr>
      <w:tr>
        <w:tc>
          <w:tcPr>
            <w:tcW w:type="dxa" w:w="78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2018</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₹1,062</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₹760</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₹1,389</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+1.4%</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26,306</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96.7%</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3,812</w:t>
            </w:r>
          </w:p>
        </w:tc>
        <w:tc>
          <w:tcPr>
            <w:tcW w:type="dxa" w:w="13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₹2,795</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2019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₹2,496</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₹1,326</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₹4,675</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+134.9%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17,549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96.9%</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3,540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₹4,380</w:t>
            </w:r>
          </w:p>
        </w:tc>
      </w:tr>
      <w:tr>
        <w:tc>
          <w:tcPr>
            <w:tcW w:type="dxa" w:w="78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2020</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₹2,085</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₹1,070</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₹4,058</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-16.5%</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16,857</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96.1%</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3,117</w:t>
            </w:r>
          </w:p>
        </w:tc>
        <w:tc>
          <w:tcPr>
            <w:tcW w:type="dxa" w:w="13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₹3,515</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2021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₹1,182</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₹861</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₹1,711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-43.3%</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21,758</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96.7%</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2,612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₹2,572</w:t>
            </w:r>
          </w:p>
        </w:tc>
      </w:tr>
      <w:tr>
        <w:tc>
          <w:tcPr>
            <w:tcW w:type="dxa" w:w="78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2022</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₹903</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₹771</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₹1,082</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-23.6%</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31,267</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92.6%</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2,981</w:t>
            </w:r>
          </w:p>
        </w:tc>
        <w:tc>
          <w:tcPr>
            <w:tcW w:type="dxa" w:w="13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₹2,823</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2023</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₹1,444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₹868</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₹2,221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+59.9%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28,512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92.3%</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2,407</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₹4,117</w:t>
            </w:r>
          </w:p>
        </w:tc>
      </w:tr>
      <w:tr>
        <w:tc>
          <w:tcPr>
            <w:tcW w:type="dxa" w:w="78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2024</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₹2,122</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₹1,316</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₹3,021</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+46.9%</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26,636</w:t>
            </w:r>
          </w:p>
        </w:tc>
        <w:tc>
          <w:tcPr>
            <w:tcW w:type="dxa" w:w="10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96.7%</w:t>
            </w:r>
          </w:p>
        </w:tc>
        <w:tc>
          <w:tcPr>
            <w:tcW w:type="dxa" w:w="8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3,124</w:t>
            </w:r>
          </w:p>
        </w:tc>
        <w:tc>
          <w:tcPr>
            <w:tcW w:type="dxa" w:w="13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₹5,651</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2025</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₹2,570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₹2,037</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₹3,182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+21.2%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31,077</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97.2%</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2,948</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₹7,988</w:t>
            </w:r>
          </w:p>
        </w:tc>
      </w:tr>
    </w:tbl>
    <w:p>
      <w:pPr>
        <w:spacing w:after="60"/>
      </w:pPr>
    </w:p>
    <w:p>
      <w:r>
        <w:br w:type="page"/>
      </w:r>
    </w:p>
    <w:p>
      <w:pPr>
        <w:pStyle w:val="Heading2"/>
      </w:pPr>
      <w:r>
        <w:t xml:space="preserve">3.2 Regime Transitions: Anatomy of Market Turning Points</w:t>
      </w:r>
    </w:p>
    <w:p>
      <w:pPr>
        <w:spacing w:after="60"/>
      </w:pPr>
    </w:p>
    <w:p>
      <w:pPr>
        <w:pStyle w:val="Heading3"/>
      </w:pPr>
      <w:r>
        <w:t xml:space="preserve">3.2.1 The Kerala Flood Shock (August 2018)</w:t>
      </w:r>
    </w:p>
    <w:p>
      <w:pPr>
        <w:spacing w:after="60"/>
      </w:pPr>
    </w:p>
    <w:p>
      <w:pPr>
        <w:spacing w:after="160"/>
        <w:jc w:val="both"/>
      </w:pPr>
      <w:r>
        <w:rPr>
          <w:rFonts w:ascii="Arial" w:cs="Arial" w:eastAsia="Arial" w:hAnsi="Arial"/>
          <w:color w:val="2C3E50"/>
          <w:sz w:val="22"/>
          <w:szCs w:val="22"/>
        </w:rPr>
        <w:t xml:space="preserve">The most dramatic regime transition in the study period was triggered by the catastrophic Kerala floods of August 2018, when the state received 164% of normal rainfall. This was the worst flooding in a century, claiming 483 lives and submerging cardamom plantations across the Idukki district, the heartland of Indian cardamom cultivation. Prices doubled from approximately ₹1,038/kg in June–July 2018 to ₹2,213/kg by November 2018 – January 2019, a 113% increase within four months. The supply destruction persisted well beyond the immediate flood event due to cardamom’s 2–3 year recovery cycle, with auction volumes dropping 30–40%. The subsequent 2019 monsoon brought further heavy rainfall (3,540mm annual), compounding crop damage and pushing prices to all-time highs above ₹4,675/kg by late 2019.</w:t>
      </w:r>
    </w:p>
    <w:p>
      <w:pPr>
        <w:pStyle w:val="Heading3"/>
      </w:pPr>
      <w:r>
        <w:t xml:space="preserve">3.2.2 The COVID-19 Demand Destruction (March 2020)</w:t>
      </w:r>
    </w:p>
    <w:p>
      <w:pPr>
        <w:spacing w:after="60"/>
      </w:pPr>
    </w:p>
    <w:p>
      <w:pPr>
        <w:spacing w:after="160"/>
        <w:jc w:val="both"/>
      </w:pPr>
      <w:r>
        <w:rPr>
          <w:rFonts w:ascii="Arial" w:cs="Arial" w:eastAsia="Arial" w:hAnsi="Arial"/>
          <w:color w:val="2C3E50"/>
          <w:sz w:val="22"/>
          <w:szCs w:val="22"/>
        </w:rPr>
        <w:t xml:space="preserve">India’s nationwide lockdown beginning March 25, 2020 triggered the next major regime change. Spice auctions were suspended, export logistics collapsed, and Middle East demand evaporated as the hospitality sector shut down. Crude oil crashed to $20/barrel, further depressing economic activity in key Gulf markets. Prices fell 38.5% from ₹2,542/kg in January–February 2020 to ₹1,564/kg by May–July 2020. However, the correction was relatively short-lived compared to the flood-driven rally that preceded it.</w:t>
      </w:r>
    </w:p>
    <w:p>
      <w:pPr>
        <w:pStyle w:val="Heading3"/>
      </w:pPr>
      <w:r>
        <w:t xml:space="preserve">3.2.3 The Post-COVID Oversupply (2021–2023)</w:t>
      </w:r>
    </w:p>
    <w:p>
      <w:pPr>
        <w:spacing w:after="60"/>
      </w:pPr>
    </w:p>
    <w:p>
      <w:pPr>
        <w:spacing w:after="160"/>
        <w:jc w:val="both"/>
      </w:pPr>
      <w:r>
        <w:rPr>
          <w:rFonts w:ascii="Arial" w:cs="Arial" w:eastAsia="Arial" w:hAnsi="Arial"/>
          <w:color w:val="2C3E50"/>
          <w:sz w:val="22"/>
          <w:szCs w:val="22"/>
        </w:rPr>
        <w:t xml:space="preserve">The extended high-price period of 2018–2020 incentivised massive new plantings across Kerala and Karnataka. As these investments matured (following the 3-year gestation period), supply flooded the market. Concurrently, La Niña conditions from 2020 to 2023 brought favourable rainfall, boosting yields across all growing regions. Auction volumes hit record levels of 31,267 MT in 2022 with sell-through rates declining to 92.6% – the lowest in the dataset – signalling oversupply. Prices ground down over 2.5 years from ₹1,455/kg in early 2021 to below ₹900/kg by mid-2023, approaching the estimated production cost floor.</w:t>
      </w:r>
    </w:p>
    <w:p>
      <w:pPr>
        <w:pStyle w:val="Heading3"/>
      </w:pPr>
      <w:r>
        <w:t xml:space="preserve">3.2.4 The Guatemala Supply Collapse (2024–2026)</w:t>
      </w:r>
    </w:p>
    <w:p>
      <w:pPr>
        <w:spacing w:after="60"/>
      </w:pPr>
    </w:p>
    <w:p>
      <w:pPr>
        <w:spacing w:after="160"/>
        <w:jc w:val="both"/>
      </w:pPr>
      <w:r>
        <w:rPr>
          <w:rFonts w:ascii="Arial" w:cs="Arial" w:eastAsia="Arial" w:hAnsi="Arial"/>
          <w:color w:val="2C3E50"/>
          <w:sz w:val="22"/>
          <w:szCs w:val="22"/>
        </w:rPr>
        <w:t xml:space="preserve">The current bull run, which began in mid-2024, is fundamentally a Guatemala story. Guatemala accounts for 60–70% of global cardamom exports, and a severe thrips infestation devastated production. Exports collapsed from approximately 53,000 MT in 2023 to 28,500 MT in 2024 (a 46% decline), and annualised 2025 data suggests further deterioration to just 14,000 MT. Simultaneously, Indian supply tightened due to a weak 2023–24 monsoon influenced by El Niño conditions. The rupee’s depreciation from ₹83 to ₹91 per dollar provided additional export incentives. Prices recovered from approximately ₹1,000/kg to above ₹2,500/kg, with the bull run showing no signs of reversal as of February 2026.</w:t>
      </w:r>
    </w:p>
    <w:p>
      <w:r>
        <w:br w:type="page"/>
      </w:r>
    </w:p>
    <w:p>
      <w:pPr>
        <w:pStyle w:val="Heading1"/>
      </w:pPr>
      <w:r>
        <w:t xml:space="preserve">4. Five Structural Forces Governing Cardamom Prices</w:t>
      </w:r>
    </w:p>
    <w:p>
      <w:pPr>
        <w:spacing w:after="60"/>
      </w:pPr>
    </w:p>
    <w:p>
      <w:pPr>
        <w:spacing w:after="160"/>
        <w:jc w:val="both"/>
      </w:pPr>
      <w:r>
        <w:rPr>
          <w:rFonts w:ascii="Arial" w:cs="Arial" w:eastAsia="Arial" w:hAnsi="Arial"/>
          <w:color w:val="2C3E50"/>
          <w:sz w:val="22"/>
          <w:szCs w:val="22"/>
        </w:rPr>
        <w:t xml:space="preserve">Beyond regime-specific events, five structural forces interact to determine cardamom’s long-term price trajectory. Understanding these forces provides a framework for anticipating future regime changes.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Force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Length</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Direction</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Mechanism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Production Growth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Secular trend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Deflationary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India yield +153% (2010-2021); high-yielding varieties and irrigation expansion</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Cost Inflation Floor</w:t>
            </w:r>
          </w:p>
        </w:tc>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Annual (~5%/yr)</w:t>
            </w:r>
          </w:p>
        </w:tc>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Inflationary</w:t>
            </w:r>
          </w:p>
        </w:tc>
        <w:tc>
          <w:tcPr>
            <w:tcW w:type="dxa" w:w="37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Labour costs 60-65% of production; MGNREGA wage CAGR 5.2%; 2025 floor ₹578/kg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Planting Cobweb Cycle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6–8 years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Cyclical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3-year gestation from planting to harvest; high prices trigger planting surges</w:t>
            </w:r>
          </w:p>
        </w:tc>
      </w:tr>
      <w:tr>
        <w:tc>
          <w:tcPr>
            <w:tcW w:type="dxa" w:w="2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ENSO Climate Cycle</w:t>
            </w:r>
          </w:p>
        </w:tc>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2–7 years</w:t>
            </w:r>
          </w:p>
        </w:tc>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Disruptive</w:t>
            </w:r>
          </w:p>
        </w:tc>
        <w:tc>
          <w:tcPr>
            <w:tcW w:type="dxa" w:w="37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La Niña excess rain damages crops; El Niño = manageable dryness; 12-month price lag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Monthly Seasonality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Annual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Predictable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Aug-Dec strong (+10.5%); Mar-May weak (-10.5%); festivals drive harvest-season demand</w:t>
            </w:r>
          </w:p>
        </w:tc>
      </w:tr>
    </w:tbl>
    <w:p>
      <w:pPr>
        <w:spacing w:after="60"/>
      </w:pPr>
    </w:p>
    <w:p>
      <w:pPr>
        <w:pStyle w:val="Heading2"/>
      </w:pPr>
      <w:r>
        <w:t xml:space="preserve">4.1 Force 1: Secular Indian Production Growth</w:t>
      </w:r>
    </w:p>
    <w:p>
      <w:pPr>
        <w:spacing w:after="60"/>
      </w:pPr>
    </w:p>
    <w:p>
      <w:pPr>
        <w:spacing w:after="160"/>
        <w:jc w:val="both"/>
      </w:pPr>
      <w:r>
        <w:rPr>
          <w:rFonts w:ascii="Arial" w:cs="Arial" w:eastAsia="Arial" w:hAnsi="Arial"/>
          <w:color w:val="2C3E50"/>
          <w:sz w:val="22"/>
          <w:szCs w:val="22"/>
        </w:rPr>
        <w:t xml:space="preserve">India’s cardamom production has undergone a remarkable transformation over the past decade. Output grew from 15,730 MT in 2010 to 50,000 MT in 2021, a 218% increase. Critically, this growth was driven overwhelmingly by yield improvements (+153%, from 181 kg/ha to 459 kg/ha) rather than area expansion (+25%, from 87,000 to 109,000 ha). The yield revolution was enabled by the adoption of high-yielding varieties such as IISR Vijetha and ICRI clones delivering 2–3x the output of traditional cultivars, combined with expanded irrigation and high-density planting techniques. This structural force is inherently deflationary, as it increases supply capacity even without new land allocation.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Year</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Guatemala (MT)</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India (MT)</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Indonesia (MT)</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India Area (Ha)</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India Yield (kg/Ha)</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22,607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15,730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15,693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86,749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181</w:t>
            </w:r>
          </w:p>
        </w:tc>
      </w:tr>
      <w:tr>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2013</w:t>
            </w:r>
          </w:p>
        </w:tc>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29,367</w:t>
            </w:r>
          </w:p>
        </w:tc>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22,000</w:t>
            </w:r>
          </w:p>
        </w:tc>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34,114</w:t>
            </w:r>
          </w:p>
        </w:tc>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69,610</w:t>
            </w:r>
          </w:p>
        </w:tc>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316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36,400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28,000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35,157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85,638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327</w:t>
            </w:r>
          </w:p>
        </w:tc>
      </w:tr>
      <w:tr>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2019</w:t>
            </w:r>
          </w:p>
        </w:tc>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38,527</w:t>
            </w:r>
          </w:p>
        </w:tc>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23,000</w:t>
            </w:r>
          </w:p>
        </w:tc>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44,141</w:t>
            </w:r>
          </w:p>
        </w:tc>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91,337</w:t>
            </w:r>
          </w:p>
        </w:tc>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252</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2021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36,270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43,516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108,990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459</w:t>
            </w:r>
          </w:p>
        </w:tc>
      </w:tr>
    </w:tbl>
    <w:p>
      <w:pPr>
        <w:spacing w:after="60"/>
      </w:pPr>
    </w:p>
    <w:p>
      <w:pPr>
        <w:pStyle w:val="Heading2"/>
      </w:pPr>
      <w:r>
        <w:t xml:space="preserve">4.2 Force 2: Cost Inflation Floor</w:t>
      </w:r>
    </w:p>
    <w:p>
      <w:pPr>
        <w:spacing w:after="60"/>
      </w:pPr>
    </w:p>
    <w:p>
      <w:pPr>
        <w:spacing w:after="160"/>
        <w:jc w:val="both"/>
      </w:pPr>
      <w:r>
        <w:rPr>
          <w:rFonts w:ascii="Arial" w:cs="Arial" w:eastAsia="Arial" w:hAnsi="Arial"/>
          <w:color w:val="2C3E50"/>
          <w:sz w:val="22"/>
          <w:szCs w:val="22"/>
        </w:rPr>
        <w:t xml:space="preserve">Labour costs constitute 60–65% of total cardamom cultivation costs, and Kerala’s MGNREGA wages have risen from ₹212/day in 2014 to ₹369/day in 2025, a compound annual growth rate of 5.2%. Actual farm labour commands a premium of approximately 1.7x the MGNREGA rate, implying effective daily wages of ₹500–600. With typical requirements of 200 labour-days per acre and yields of approximately 350 kg/acre, the estimated production cost per kilogram reached ₹578 in 2025 and continues to rise at roughly 5% per year. This floor prevents sustained price crashes below production cost, creating an asymmetric risk profile: prices have a hard floor but no theoretical ceiling during supply shocks. Guatemala’s production cost of $5–8/kg is lower, reflecting its competitive advantage in labour costs.</w:t>
      </w:r>
    </w:p>
    <w:p>
      <w:pPr>
        <w:pStyle w:val="Heading2"/>
      </w:pPr>
      <w:r>
        <w:t xml:space="preserve">4.3 Force 3: The Planting Cobweb Cycle</w:t>
      </w:r>
    </w:p>
    <w:p>
      <w:pPr>
        <w:spacing w:after="60"/>
      </w:pPr>
    </w:p>
    <w:p>
      <w:pPr>
        <w:spacing w:after="160"/>
        <w:jc w:val="both"/>
      </w:pPr>
      <w:r>
        <w:rPr>
          <w:rFonts w:ascii="Arial" w:cs="Arial" w:eastAsia="Arial" w:hAnsi="Arial"/>
          <w:color w:val="2C3E50"/>
          <w:sz w:val="22"/>
          <w:szCs w:val="22"/>
        </w:rPr>
        <w:t xml:space="preserve">Cardamom’s agronomic characteristics create a classic cobweb supply cycle of approximately 6–8 years. New plantings require 3 years to reach first commercial harvest and remain productive for 8–15 years, with declining yields after year 10. High prices (such as ₹2,496/kg in 2019) incentivise planting surges; these new plants then flood the market 3 years later (the 2022–23 bear market). The current price-to-cost ratio of 4.3x (₹2,500 vs. ₹578 cost) is likely triggering another planting wave, with supply impacts expected to materialise by 2027–28. Google Trends data for “cardamom plantation” searches shows a correlation with future supply at 1–3 year lags, providing an early warning signal.</w:t>
      </w:r>
    </w:p>
    <w:p>
      <w:pPr>
        <w:pStyle w:val="Heading2"/>
      </w:pPr>
      <w:r>
        <w:t xml:space="preserve">4.4 Force 4: ENSO Climate Oscillation</w:t>
      </w:r>
    </w:p>
    <w:p>
      <w:pPr>
        <w:spacing w:after="60"/>
      </w:pPr>
    </w:p>
    <w:p>
      <w:pPr>
        <w:spacing w:after="160"/>
        <w:jc w:val="both"/>
      </w:pPr>
      <w:r>
        <w:rPr>
          <w:rFonts w:ascii="Arial" w:cs="Arial" w:eastAsia="Arial" w:hAnsi="Arial"/>
          <w:color w:val="2C3E50"/>
          <w:sz w:val="22"/>
          <w:szCs w:val="22"/>
        </w:rPr>
        <w:t xml:space="preserve">The El Niño-Southern Oscillation is the most important semi-predictable climate driver of cardamom prices. Lead-lag analysis reveals that ENSO conditions predict price movements with a correlation of r = −0.40 at a 12-month lag. Counter-intuitively, La Niña (negative ONI) leads to higher prices 12 months later because excess rainfall causes flooding, waterlogging, and crop damage in the Western Ghats, while El Niño creates drier but manageable conditions that support adequate yields. The 2018 Kerala floods coincided with a La Niña phase, while the 2020–2023 La Niña period delivered bumper crops that fed the bear market. The regime classifier identifies ENSO at 12-month lag as the single most important predictor of bear/bull market transitions, with a feature importance score of 0.148.</w:t>
      </w:r>
    </w:p>
    <w:p>
      <w:pPr>
        <w:pStyle w:val="Heading2"/>
      </w:pPr>
      <w:r>
        <w:t xml:space="preserve">4.5 Force 5: Monthly Seasonality</w:t>
      </w:r>
    </w:p>
    <w:p>
      <w:pPr>
        <w:spacing w:after="60"/>
      </w:pPr>
    </w:p>
    <w:p>
      <w:pPr>
        <w:spacing w:after="160"/>
        <w:jc w:val="both"/>
      </w:pPr>
      <w:r>
        <w:rPr>
          <w:rFonts w:ascii="Arial" w:cs="Arial" w:eastAsia="Arial" w:hAnsi="Arial"/>
          <w:color w:val="2C3E50"/>
          <w:sz w:val="22"/>
          <w:szCs w:val="22"/>
        </w:rPr>
        <w:t xml:space="preserve">Cardamom prices exhibit a predictable annual seasonal pattern with an amplitude of approximately ±10.5% around the annual mean. Counterintuitively, prices are strongest during the harvest months (August–December) and weakest during the lean season (March–May). This paradox is explained by the dominance of festival-driven demand (Onam, Diwali, Christmas, New Year, and Eid preparations) over harvest supply increases. Fresh crop quality premiums in August–September further support prices during peak supply. March–May weakness reflects adequate carry-over stocks combined with a post-festival demand trough.</w:t>
      </w:r>
    </w:p>
    <w:p>
      <w:r>
        <w:br w:type="page"/>
      </w:r>
    </w:p>
    <w:p>
      <w:pPr>
        <w:pStyle w:val="Heading1"/>
      </w:pPr>
      <w:r>
        <w:t xml:space="preserve">5. Guatemala: The World’s Swing Producer</w:t>
      </w:r>
    </w:p>
    <w:p>
      <w:pPr>
        <w:spacing w:after="60"/>
      </w:pPr>
    </w:p>
    <w:p>
      <w:pPr>
        <w:spacing w:after="160"/>
        <w:jc w:val="both"/>
      </w:pPr>
      <w:r>
        <w:rPr>
          <w:rFonts w:ascii="Arial" w:cs="Arial" w:eastAsia="Arial" w:hAnsi="Arial"/>
          <w:color w:val="2C3E50"/>
          <w:sz w:val="22"/>
          <w:szCs w:val="22"/>
        </w:rPr>
        <w:t xml:space="preserve">A critical finding of this research is the centrality of Guatemala to global cardamom price formation. Guatemala accounts for approximately 60–70% of global cardamom exports, making it the dominant swing producer. The India-Guatemala export price correlation of r = +0.79 confirms that these markets are deeply integrated despite geographic separation. Guatemala’s outsized export share means that supply disruptions originating in Central America propagate rapidly to Indian auction floors, often with greater price impact than domestic Indian supply changes.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Year</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Guatemala Exports (MT)</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India Avg Price</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Market Impact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2020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~65,000 (surge)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₹2,085 (falling)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Guatemala flooded market; India prices collapsed</w:t>
            </w:r>
          </w:p>
        </w:tc>
      </w:tr>
      <w:tr>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2023</w:t>
            </w:r>
          </w:p>
        </w:tc>
        <w:tc>
          <w:tcPr>
            <w:tcW w:type="dxa" w:w="2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~53,000 (high)</w:t>
            </w:r>
          </w:p>
        </w:tc>
        <w:tc>
          <w:tcPr>
            <w:tcW w:type="dxa" w:w="2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₹1,444 (recovering)</w:t>
            </w:r>
          </w:p>
        </w:tc>
        <w:tc>
          <w:tcPr>
            <w:tcW w:type="dxa" w:w="2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Adequate global supply; gradual recovery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~28,500 (collapse)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₹2,122 (surging)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Thrips infestation; 46% export decline</w:t>
            </w:r>
          </w:p>
        </w:tc>
      </w:tr>
      <w:tr>
        <w:tc>
          <w:tcPr>
            <w:tcW w:type="dxa" w:w="1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2025*</w:t>
            </w:r>
          </w:p>
        </w:tc>
        <w:tc>
          <w:tcPr>
            <w:tcW w:type="dxa" w:w="2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~14,000 (annualised)</w:t>
            </w:r>
          </w:p>
        </w:tc>
        <w:tc>
          <w:tcPr>
            <w:tcW w:type="dxa" w:w="2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₹2,570 (bull run)</w:t>
            </w:r>
          </w:p>
        </w:tc>
        <w:tc>
          <w:tcPr>
            <w:tcW w:type="dxa" w:w="2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Crisis deepening; India at 7-year highs</w:t>
            </w:r>
          </w:p>
        </w:tc>
      </w:tr>
    </w:tbl>
    <w:p>
      <w:pPr>
        <w:spacing w:after="60"/>
      </w:pPr>
    </w:p>
    <w:p>
      <w:pPr>
        <w:spacing w:after="160"/>
        <w:jc w:val="both"/>
      </w:pPr>
      <w:r>
        <w:rPr>
          <w:rFonts w:ascii="Arial" w:cs="Arial" w:eastAsia="Arial" w:hAnsi="Arial"/>
          <w:color w:val="2C3E50"/>
          <w:sz w:val="22"/>
          <w:szCs w:val="22"/>
        </w:rPr>
        <w:t xml:space="preserve">The 2024–25 thrips crisis represents the most severe Guatemala supply shock in the dataset. Exports collapsed 46% year-on-year in 2024, and annualised 2025 data suggests a further halving. The recovery timeline for thrips-damaged plantations is the single most important variable for forecasting the next regime change. A recovery to normal export levels of 35,000+ MT per year would likely trigger bearish pressure on Indian prices, while a prolonged crisis could sustain the current bull run into 2027.</w:t>
      </w:r>
    </w:p>
    <w:p>
      <w:r>
        <w:br w:type="page"/>
      </w:r>
    </w:p>
    <w:p>
      <w:pPr>
        <w:pStyle w:val="Heading1"/>
      </w:pPr>
      <w:r>
        <w:t xml:space="preserve">6. Macroeconomic and External Factors</w:t>
      </w:r>
    </w:p>
    <w:p>
      <w:pPr>
        <w:spacing w:after="60"/>
      </w:pPr>
    </w:p>
    <w:p>
      <w:pPr>
        <w:pStyle w:val="Heading2"/>
      </w:pPr>
      <w:r>
        <w:t xml:space="preserve">6.1 USD/INR Exchange Rate</w:t>
      </w:r>
    </w:p>
    <w:p>
      <w:pPr>
        <w:spacing w:after="60"/>
      </w:pPr>
    </w:p>
    <w:p>
      <w:pPr>
        <w:spacing w:after="160"/>
        <w:jc w:val="both"/>
      </w:pPr>
      <w:r>
        <w:rPr>
          <w:rFonts w:ascii="Arial" w:cs="Arial" w:eastAsia="Arial" w:hAnsi="Arial"/>
          <w:color w:val="2C3E50"/>
          <w:sz w:val="22"/>
          <w:szCs w:val="22"/>
        </w:rPr>
        <w:t xml:space="preserve">The rupee has depreciated steadily from ₹61.5/USD in 2014 to ₹90.7/USD in early 2026, providing a secular tailwind for Indian cardamom export competitiveness. While exchange rate movements do not independently cause regime changes, rupee weakness amplifies the attractiveness of Indian cardamom in dollar-denominated export markets, particularly the Middle East. The 47% depreciation over the study period effectively raises the rupee-denominated floor price that export buyers are willing to pay.</w:t>
      </w:r>
    </w:p>
    <w:p>
      <w:pPr>
        <w:pStyle w:val="Heading2"/>
      </w:pPr>
      <w:r>
        <w:t xml:space="preserve">6.2 Middle East Demand Dynamics</w:t>
      </w:r>
    </w:p>
    <w:p>
      <w:pPr>
        <w:spacing w:after="60"/>
      </w:pPr>
    </w:p>
    <w:p>
      <w:pPr>
        <w:spacing w:after="160"/>
        <w:jc w:val="both"/>
      </w:pPr>
      <w:r>
        <w:rPr>
          <w:rFonts w:ascii="Arial" w:cs="Arial" w:eastAsia="Arial" w:hAnsi="Arial"/>
          <w:color w:val="2C3E50"/>
          <w:sz w:val="22"/>
          <w:szCs w:val="22"/>
        </w:rPr>
        <w:t xml:space="preserve">Saudi Arabia, the world’s largest cardamom importer, maintains remarkably stable import volumes of 9,000–13,000 MT per year regardless of price levels. This price-inelastic demand profile means Saudi Arabia functions as a price-taker rather than a price-setter. Import value fluctuates between $2.6M and $52.5M per month, driven almost entirely by unit price movements rather than volume changes. Pre-Eid buying creates predictable seasonal demand spikes but does not drive structural regime changes. The UAE and other Gulf states exhibit similar demand stability.</w:t>
      </w:r>
    </w:p>
    <w:p>
      <w:pPr>
        <w:pStyle w:val="Heading2"/>
      </w:pPr>
      <w:r>
        <w:t xml:space="preserve">6.3 Crude Oil and Gold</w:t>
      </w:r>
    </w:p>
    <w:p>
      <w:pPr>
        <w:spacing w:after="60"/>
      </w:pPr>
    </w:p>
    <w:p>
      <w:pPr>
        <w:spacing w:after="160"/>
        <w:jc w:val="both"/>
      </w:pPr>
      <w:r>
        <w:rPr>
          <w:rFonts w:ascii="Arial" w:cs="Arial" w:eastAsia="Arial" w:hAnsi="Arial"/>
          <w:color w:val="2C3E50"/>
          <w:sz w:val="22"/>
          <w:szCs w:val="22"/>
        </w:rPr>
        <w:t xml:space="preserve">Crude oil prices serve as a proxy for Gulf state economic activity and purchasing power. The oil crash to $20/barrel during COVID-19 coincided with cardamom demand destruction in the Middle East. Gold prices show weak positive correlation with cardamom, likely reflecting shared sensitivity to inflation expectations and rupee depreciation rather than direct causation. The Nifty50 index provides a macro backdrop for Indian rural economic sentiment but demonstrates limited predictive power for cardamom prices.</w:t>
      </w:r>
    </w:p>
    <w:p>
      <w:r>
        <w:br w:type="page"/>
      </w:r>
    </w:p>
    <w:p>
      <w:pPr>
        <w:pStyle w:val="Heading1"/>
      </w:pPr>
      <w:r>
        <w:t xml:space="preserve">7. Forecasting Framework and Model Performance</w:t>
      </w:r>
    </w:p>
    <w:p>
      <w:pPr>
        <w:spacing w:after="60"/>
      </w:pPr>
    </w:p>
    <w:p>
      <w:pPr>
        <w:spacing w:after="160"/>
        <w:jc w:val="both"/>
      </w:pPr>
      <w:r>
        <w:rPr>
          <w:rFonts w:ascii="Arial" w:cs="Arial" w:eastAsia="Arial" w:hAnsi="Arial"/>
          <w:color w:val="2C3E50"/>
          <w:sz w:val="22"/>
          <w:szCs w:val="22"/>
        </w:rPr>
        <w:t xml:space="preserve">A multi-horizon forecasting system was developed using walk-forward cross-validation to ensure temporal integrity. The framework employs different model architectures optimised for each time horizon, with a feature set spanning six tiers: technical momentum (33 features), seasonal/calendar signals (6–13 features), weather/climate indicators (14 features), macroeconomic variables (6 features), supply chain/trade data (5 features), and cyclical/structural indicators (4–6 features).</w:t>
      </w:r>
    </w:p>
    <w:p>
      <w:pPr>
        <w:spacing w:after="60"/>
      </w:pPr>
    </w:p>
    <w:p>
      <w:pPr>
        <w:pStyle w:val="Heading2"/>
      </w:pPr>
      <w:r>
        <w:t xml:space="preserve">7.1 Model Performance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1200"/>
        <w:gridCol w:w="1200"/>
        <w:gridCol w:w="1200"/>
        <w:gridCol w:w="1360"/>
      </w:tblGrid>
      <w:t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Horizon</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MAE (₹)</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MAPE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Dir Acc</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Forecast</w:t>
            </w:r>
          </w:p>
        </w:tc>
        <w:tc>
          <w:tcPr>
            <w:tcW w:type="dxa" w:w="1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7-day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Gradient Boosting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₹2,455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14-day</w:t>
            </w:r>
          </w:p>
        </w:tc>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Gradient Boosting</w:t>
            </w:r>
          </w:p>
        </w:tc>
        <w:tc>
          <w:tcPr>
            <w:tcW w:type="dxa" w:w="1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266.6</w:t>
            </w:r>
          </w:p>
        </w:tc>
        <w:tc>
          <w:tcPr>
            <w:tcW w:type="dxa" w:w="1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15.0%</w:t>
            </w:r>
          </w:p>
        </w:tc>
        <w:tc>
          <w:tcPr>
            <w:tcW w:type="dxa" w:w="1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50%</w:t>
            </w:r>
          </w:p>
        </w:tc>
        <w:tc>
          <w:tcPr>
            <w:tcW w:type="dxa" w:w="1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₹2,420</w:t>
            </w:r>
          </w:p>
        </w:tc>
        <w:tc>
          <w:tcPr>
            <w:tcW w:type="dxa" w:w="13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28-day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LGB+Ridge Stack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316.1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₹2,427</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-3.1%</w:t>
            </w:r>
          </w:p>
        </w:tc>
      </w:tr>
      <w:tr>
        <w:tc>
          <w:tcPr>
            <w:tcW w:type="dxa" w:w="1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90-day</w:t>
            </w:r>
          </w:p>
        </w:tc>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Bayesian Ridge</w:t>
            </w:r>
          </w:p>
        </w:tc>
        <w:tc>
          <w:tcPr>
            <w:tcW w:type="dxa" w:w="1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666.0</w:t>
            </w:r>
          </w:p>
        </w:tc>
        <w:tc>
          <w:tcPr>
            <w:tcW w:type="dxa" w:w="1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33.9%</w:t>
            </w:r>
          </w:p>
        </w:tc>
        <w:tc>
          <w:tcPr>
            <w:tcW w:type="dxa" w:w="1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w:t>
            </w:r>
          </w:p>
        </w:tc>
        <w:tc>
          <w:tcPr>
            <w:tcW w:type="dxa" w:w="1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₹2,096</w:t>
            </w:r>
          </w:p>
        </w:tc>
        <w:tc>
          <w:tcPr>
            <w:tcW w:type="dxa" w:w="13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-16.3%</w:t>
            </w:r>
          </w:p>
        </w:tc>
      </w:tr>
    </w:tbl>
    <w:p>
      <w:pPr>
        <w:spacing w:after="60"/>
      </w:pPr>
    </w:p>
    <w:p>
      <w:pPr>
        <w:spacing w:after="160"/>
        <w:jc w:val="both"/>
      </w:pPr>
      <w:r>
        <w:rPr>
          <w:rFonts w:ascii="Arial" w:cs="Arial" w:eastAsia="Arial" w:hAnsi="Arial"/>
          <w:color w:val="2C3E50"/>
          <w:sz w:val="22"/>
          <w:szCs w:val="22"/>
        </w:rPr>
        <w:t xml:space="preserve">Model performance degrades significantly with forecast horizon, as expected for a commodity subject to exogenous supply shocks. The 7-day model achieves 11.4% MAPE, while the 90-day model’s 33.9% MAPE and wide confidence interval (₹1,688–₹2,505) reflect the fundamental unpredictability of weather events and trade disruptions at longer horizons. Directional accuracy near 50% for short-term models suggests difficulty capturing turning points, a common challenge in regime-switching markets.</w:t>
      </w:r>
    </w:p>
    <w:p>
      <w:pPr>
        <w:pStyle w:val="Heading2"/>
      </w:pPr>
      <w:r>
        <w:t xml:space="preserve">7.2 Regime Classification</w:t>
      </w:r>
    </w:p>
    <w:p>
      <w:pPr>
        <w:spacing w:after="60"/>
      </w:pPr>
    </w:p>
    <w:p>
      <w:pPr>
        <w:spacing w:after="160"/>
        <w:jc w:val="both"/>
      </w:pPr>
      <w:r>
        <w:rPr>
          <w:rFonts w:ascii="Arial" w:cs="Arial" w:eastAsia="Arial" w:hAnsi="Arial"/>
          <w:color w:val="2C3E50"/>
          <w:sz w:val="22"/>
          <w:szCs w:val="22"/>
        </w:rPr>
        <w:t xml:space="preserve">A Gradient Boosting Classifier was trained to predict bear market signals, defined as periods where forward 6-month returns fall below -10%. The model identifies the current regime as strongly bullish with only a 3% bear probability. Climate variables dominate the regime classifier’s feature importance: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43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Rank</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Feature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Importance</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Interpretation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ENSO (12-month lag)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0.148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Climate oscillation is the strongest predictor of regime shifts</w:t>
            </w:r>
          </w:p>
        </w:tc>
      </w:tr>
      <w:tr>
        <w:tc>
          <w:tcPr>
            <w:tcW w:type="dxa" w:w="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2</w:t>
            </w:r>
          </w:p>
        </w:tc>
        <w:tc>
          <w:tcPr>
            <w:tcW w:type="dxa" w:w="2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Recent Rainfall (28-day)</w:t>
            </w:r>
          </w:p>
        </w:tc>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0.139</w:t>
            </w:r>
          </w:p>
        </w:tc>
        <w:tc>
          <w:tcPr>
            <w:tcW w:type="dxa" w:w="43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Immediate weather conditions impact near-term supply expectations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Google Trends: Price Interest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0.091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Market attention and speculative interest signal turning points</w:t>
            </w:r>
          </w:p>
        </w:tc>
      </w:tr>
      <w:tr>
        <w:tc>
          <w:tcPr>
            <w:tcW w:type="dxa" w:w="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4</w:t>
            </w:r>
          </w:p>
        </w:tc>
        <w:tc>
          <w:tcPr>
            <w:tcW w:type="dxa" w:w="2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Guatemala Rainfall (91-day)</w:t>
            </w:r>
          </w:p>
        </w:tc>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0.075</w:t>
            </w:r>
          </w:p>
        </w:tc>
        <w:tc>
          <w:tcPr>
            <w:tcW w:type="dxa" w:w="43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Guatemala weather affects 60-70% of global export supply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ENSO (6-month lag)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0.072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Shorter climate lag captures evolving weather-supply dynamics</w:t>
            </w:r>
          </w:p>
        </w:tc>
      </w:tr>
    </w:tbl>
    <w:p>
      <w:pPr>
        <w:spacing w:after="60"/>
      </w:pPr>
    </w:p>
    <w:p>
      <w:pPr>
        <w:spacing w:after="160"/>
        <w:jc w:val="both"/>
      </w:pPr>
      <w:r>
        <w:rPr>
          <w:rFonts w:ascii="Arial" w:cs="Arial" w:eastAsia="Arial" w:hAnsi="Arial"/>
          <w:color w:val="2C3E50"/>
          <w:sz w:val="22"/>
          <w:szCs w:val="22"/>
        </w:rPr>
        <w:t xml:space="preserve">The dominance of ENSO and rainfall variables in the regime classifier underscores that cardamom remains fundamentally a weather-driven market at the regime level, with trade and technical factors playing supporting roles.</w:t>
      </w:r>
    </w:p>
    <w:p>
      <w:r>
        <w:br w:type="page"/>
      </w:r>
    </w:p>
    <w:p>
      <w:pPr>
        <w:pStyle w:val="Heading1"/>
      </w:pPr>
      <w:r>
        <w:t xml:space="preserve">8. Current Market Assessment (February 2026)</w:t>
      </w:r>
    </w:p>
    <w:p>
      <w:pPr>
        <w:spacing w:after="60"/>
      </w:pPr>
    </w:p>
    <w:p>
      <w:pPr>
        <w:spacing w:after="140"/>
      </w:pPr>
      <w:r>
        <w:rPr>
          <w:rFonts w:ascii="Arial" w:cs="Arial" w:eastAsia="Arial" w:hAnsi="Arial"/>
          <w:b/>
          <w:bCs/>
          <w:color w:val="2C3E50"/>
          <w:sz w:val="22"/>
          <w:szCs w:val="22"/>
        </w:rPr>
        <w:t xml:space="preserve">Current Price: </w:t>
      </w:r>
      <w:r>
        <w:rPr>
          <w:rFonts w:ascii="Arial" w:cs="Arial" w:eastAsia="Arial" w:hAnsi="Arial"/>
          <w:color w:val="2C3E50"/>
          <w:sz w:val="22"/>
          <w:szCs w:val="22"/>
        </w:rPr>
        <w:t xml:space="preserve">₹2,505/kg (auction weighted average, 06 February 2026)</w:t>
      </w:r>
    </w:p>
    <w:p>
      <w:pPr>
        <w:spacing w:after="140"/>
      </w:pPr>
      <w:r>
        <w:rPr>
          <w:rFonts w:ascii="Arial" w:cs="Arial" w:eastAsia="Arial" w:hAnsi="Arial"/>
          <w:b/>
          <w:bCs/>
          <w:color w:val="2C3E50"/>
          <w:sz w:val="22"/>
          <w:szCs w:val="22"/>
        </w:rPr>
        <w:t xml:space="preserve">Regime: </w:t>
      </w:r>
      <w:r>
        <w:rPr>
          <w:rFonts w:ascii="Arial" w:cs="Arial" w:eastAsia="Arial" w:hAnsi="Arial"/>
          <w:color w:val="2C3E50"/>
          <w:sz w:val="22"/>
          <w:szCs w:val="22"/>
        </w:rPr>
        <w:t xml:space="preserve">Bull Run (7th regime since November 2014)</w:t>
      </w:r>
    </w:p>
    <w:p>
      <w:pPr>
        <w:spacing w:after="140"/>
      </w:pPr>
      <w:r>
        <w:rPr>
          <w:rFonts w:ascii="Arial" w:cs="Arial" w:eastAsia="Arial" w:hAnsi="Arial"/>
          <w:b/>
          <w:bCs/>
          <w:color w:val="2C3E50"/>
          <w:sz w:val="22"/>
          <w:szCs w:val="22"/>
        </w:rPr>
        <w:t xml:space="preserve">Bear Probability: </w:t>
      </w:r>
      <w:r>
        <w:rPr>
          <w:rFonts w:ascii="Arial" w:cs="Arial" w:eastAsia="Arial" w:hAnsi="Arial"/>
          <w:color w:val="2C3E50"/>
          <w:sz w:val="22"/>
          <w:szCs w:val="22"/>
        </w:rPr>
        <w:t xml:space="preserve">3% (LOW)</w:t>
      </w:r>
    </w:p>
    <w:p>
      <w:pPr>
        <w:spacing w:after="140"/>
      </w:pPr>
      <w:r>
        <w:rPr>
          <w:rFonts w:ascii="Arial" w:cs="Arial" w:eastAsia="Arial" w:hAnsi="Arial"/>
          <w:b/>
          <w:bCs/>
          <w:color w:val="2C3E50"/>
          <w:sz w:val="22"/>
          <w:szCs w:val="22"/>
        </w:rPr>
        <w:t xml:space="preserve">Price-to-Cost Ratio: </w:t>
      </w:r>
      <w:r>
        <w:rPr>
          <w:rFonts w:ascii="Arial" w:cs="Arial" w:eastAsia="Arial" w:hAnsi="Arial"/>
          <w:color w:val="2C3E50"/>
          <w:sz w:val="22"/>
          <w:szCs w:val="22"/>
        </w:rPr>
        <w:t xml:space="preserve">4.3x (highly profitable for growers)</w:t>
      </w:r>
    </w:p>
    <w:p>
      <w:pPr>
        <w:spacing w:after="140"/>
      </w:pPr>
      <w:r>
        <w:rPr>
          <w:rFonts w:ascii="Arial" w:cs="Arial" w:eastAsia="Arial" w:hAnsi="Arial"/>
          <w:b/>
          <w:bCs/>
          <w:color w:val="2C3E50"/>
          <w:sz w:val="22"/>
          <w:szCs w:val="22"/>
        </w:rPr>
        <w:t xml:space="preserve">ENSO Status: </w:t>
      </w:r>
      <w:r>
        <w:rPr>
          <w:rFonts w:ascii="Arial" w:cs="Arial" w:eastAsia="Arial" w:hAnsi="Arial"/>
          <w:color w:val="2C3E50"/>
          <w:sz w:val="22"/>
          <w:szCs w:val="22"/>
        </w:rPr>
        <w:t xml:space="preserve">Weak La Niña (ONI = -0.24), transitioning to neutral</w:t>
      </w:r>
    </w:p>
    <w:p>
      <w:pPr>
        <w:spacing w:after="60"/>
      </w:pPr>
    </w:p>
    <w:p>
      <w:pPr>
        <w:spacing w:after="160"/>
        <w:jc w:val="both"/>
      </w:pPr>
      <w:r>
        <w:rPr>
          <w:rFonts w:ascii="Arial" w:cs="Arial" w:eastAsia="Arial" w:hAnsi="Arial"/>
          <w:color w:val="2C3E50"/>
          <w:sz w:val="22"/>
          <w:szCs w:val="22"/>
        </w:rPr>
        <w:t xml:space="preserve">The current bull market is primarily supported by Guatemala’s ongoing thrips crisis, which has removed approximately half of global export supply. Indian auction volumes remain healthy at 31,077 MT in 2025 with a 97.2% sell-through rate, suggesting robust demand absorption. The rupee’s depreciation to ₹91/USD provides continued export incentives.</w:t>
      </w:r>
    </w:p>
    <w:p>
      <w:pPr>
        <w:spacing w:after="160"/>
        <w:jc w:val="both"/>
      </w:pPr>
      <w:r>
        <w:rPr>
          <w:rFonts w:ascii="Arial" w:cs="Arial" w:eastAsia="Arial" w:hAnsi="Arial"/>
          <w:color w:val="2C3E50"/>
          <w:sz w:val="22"/>
          <w:szCs w:val="22"/>
        </w:rPr>
        <w:t xml:space="preserve">However, several factors warrant monitoring. The 4.3x price-to-cost ratio is almost certainly triggering new plantings whose supply impact will materialise in 2027–2028. ENSO conditions are transitioning from weak La Niña toward neutral, reducing the climate risk premium. Short-term forecasting models project modest 2–3% price softening over the next month, while the 90-day model suggests a potential correction toward ₹2,096/kg.</w:t>
      </w:r>
    </w:p>
    <w:p>
      <w:pPr>
        <w:spacing w:after="160"/>
        <w:jc w:val="both"/>
      </w:pPr>
      <w:r>
        <w:rPr>
          <w:rFonts w:ascii="Arial" w:cs="Arial" w:eastAsia="Arial" w:hAnsi="Arial"/>
          <w:color w:val="2C3E50"/>
          <w:sz w:val="22"/>
          <w:szCs w:val="22"/>
        </w:rPr>
        <w:t xml:space="preserve">The critical variable for the next regime change remains Guatemala’s thrips recovery timeline. A return to normal export volumes (35,000+ MT annually) would remove the primary support for current prices. Until Guatemala recovers, the structural bull case remains intact despite high absolute price levels.</w:t>
      </w:r>
    </w:p>
    <w:p>
      <w:r>
        <w:br w:type="page"/>
      </w:r>
    </w:p>
    <w:p>
      <w:pPr>
        <w:pStyle w:val="Heading1"/>
      </w:pPr>
      <w:r>
        <w:t xml:space="preserve">9. Key Risks and Outlook</w:t>
      </w:r>
    </w:p>
    <w:p>
      <w:pPr>
        <w:spacing w:after="60"/>
      </w:pPr>
    </w:p>
    <w:p>
      <w:pPr>
        <w:pStyle w:val="Heading2"/>
      </w:pPr>
      <w:r>
        <w:t xml:space="preserve">9.1 Upside Risks</w:t>
      </w:r>
    </w:p>
    <w:p>
      <w:pPr>
        <w:spacing w:after="60"/>
      </w:pPr>
    </w:p>
    <w:p>
      <w:pPr>
        <w:pStyle w:val="ListParagraph"/>
        <w:numPr>
          <w:ilvl w:val="0"/>
          <w:numId w:val="2"/>
        </w:numPr>
        <w:spacing w:after="80"/>
      </w:pPr>
      <w:r>
        <w:rPr>
          <w:rFonts w:ascii="Arial" w:cs="Arial" w:eastAsia="Arial" w:hAnsi="Arial"/>
          <w:color w:val="2C3E50"/>
          <w:sz w:val="22"/>
          <w:szCs w:val="22"/>
        </w:rPr>
        <w:t xml:space="preserve">Prolonged Guatemala thrips crisis extending into 2027, keeping global supply constrained</w:t>
      </w:r>
    </w:p>
    <w:p>
      <w:pPr>
        <w:pStyle w:val="ListParagraph"/>
        <w:numPr>
          <w:ilvl w:val="0"/>
          <w:numId w:val="2"/>
        </w:numPr>
        <w:spacing w:after="80"/>
      </w:pPr>
      <w:r>
        <w:rPr>
          <w:rFonts w:ascii="Arial" w:cs="Arial" w:eastAsia="Arial" w:hAnsi="Arial"/>
          <w:color w:val="2C3E50"/>
          <w:sz w:val="22"/>
          <w:szCs w:val="22"/>
        </w:rPr>
        <w:t xml:space="preserve">Adverse monsoon in India (El Niño event in 2026–27) reducing domestic yields</w:t>
      </w:r>
    </w:p>
    <w:p>
      <w:pPr>
        <w:pStyle w:val="ListParagraph"/>
        <w:numPr>
          <w:ilvl w:val="0"/>
          <w:numId w:val="2"/>
        </w:numPr>
        <w:spacing w:after="80"/>
      </w:pPr>
      <w:r>
        <w:rPr>
          <w:rFonts w:ascii="Arial" w:cs="Arial" w:eastAsia="Arial" w:hAnsi="Arial"/>
          <w:color w:val="2C3E50"/>
          <w:sz w:val="22"/>
          <w:szCs w:val="22"/>
        </w:rPr>
        <w:t xml:space="preserve">Further rupee depreciation beyond ₹92/USD boosting export demand</w:t>
      </w:r>
    </w:p>
    <w:p>
      <w:pPr>
        <w:pStyle w:val="ListParagraph"/>
        <w:numPr>
          <w:ilvl w:val="0"/>
          <w:numId w:val="2"/>
        </w:numPr>
        <w:spacing w:after="80"/>
      </w:pPr>
      <w:r>
        <w:rPr>
          <w:rFonts w:ascii="Arial" w:cs="Arial" w:eastAsia="Arial" w:hAnsi="Arial"/>
          <w:color w:val="2C3E50"/>
          <w:sz w:val="22"/>
          <w:szCs w:val="22"/>
        </w:rPr>
        <w:t xml:space="preserve">Expansion of cardamom use in premium food, beverage, and nutraceutical applications</w:t>
      </w:r>
    </w:p>
    <w:p>
      <w:pPr>
        <w:spacing w:after="60"/>
      </w:pPr>
    </w:p>
    <w:p>
      <w:pPr>
        <w:pStyle w:val="Heading2"/>
      </w:pPr>
      <w:r>
        <w:t xml:space="preserve">9.2 Downside Risks</w:t>
      </w:r>
    </w:p>
    <w:p>
      <w:pPr>
        <w:spacing w:after="60"/>
      </w:pPr>
    </w:p>
    <w:p>
      <w:pPr>
        <w:pStyle w:val="ListParagraph"/>
        <w:numPr>
          <w:ilvl w:val="0"/>
          <w:numId w:val="2"/>
        </w:numPr>
        <w:spacing w:after="80"/>
      </w:pPr>
      <w:r>
        <w:rPr>
          <w:rFonts w:ascii="Arial" w:cs="Arial" w:eastAsia="Arial" w:hAnsi="Arial"/>
          <w:color w:val="2C3E50"/>
          <w:sz w:val="22"/>
          <w:szCs w:val="22"/>
        </w:rPr>
        <w:t xml:space="preserve">Guatemala thrips recovery restoring exports to 35,000+ MT/year within 12–18 months</w:t>
      </w:r>
    </w:p>
    <w:p>
      <w:pPr>
        <w:pStyle w:val="ListParagraph"/>
        <w:numPr>
          <w:ilvl w:val="0"/>
          <w:numId w:val="2"/>
        </w:numPr>
        <w:spacing w:after="80"/>
      </w:pPr>
      <w:r>
        <w:rPr>
          <w:rFonts w:ascii="Arial" w:cs="Arial" w:eastAsia="Arial" w:hAnsi="Arial"/>
          <w:color w:val="2C3E50"/>
          <w:sz w:val="22"/>
          <w:szCs w:val="22"/>
        </w:rPr>
        <w:t xml:space="preserve">Indian planting wave from 2024–25 high prices materialising in 2027–28 supply surge</w:t>
      </w:r>
    </w:p>
    <w:p>
      <w:pPr>
        <w:pStyle w:val="ListParagraph"/>
        <w:numPr>
          <w:ilvl w:val="0"/>
          <w:numId w:val="2"/>
        </w:numPr>
        <w:spacing w:after="80"/>
      </w:pPr>
      <w:r>
        <w:rPr>
          <w:rFonts w:ascii="Arial" w:cs="Arial" w:eastAsia="Arial" w:hAnsi="Arial"/>
          <w:color w:val="2C3E50"/>
          <w:sz w:val="22"/>
          <w:szCs w:val="22"/>
        </w:rPr>
        <w:t xml:space="preserve">La Niña conditions delivering bumper harvests across India and Indonesia</w:t>
      </w:r>
    </w:p>
    <w:p>
      <w:pPr>
        <w:pStyle w:val="ListParagraph"/>
        <w:numPr>
          <w:ilvl w:val="0"/>
          <w:numId w:val="2"/>
        </w:numPr>
        <w:spacing w:after="80"/>
      </w:pPr>
      <w:r>
        <w:rPr>
          <w:rFonts w:ascii="Arial" w:cs="Arial" w:eastAsia="Arial" w:hAnsi="Arial"/>
          <w:color w:val="2C3E50"/>
          <w:sz w:val="22"/>
          <w:szCs w:val="22"/>
        </w:rPr>
        <w:t xml:space="preserve">Middle East economic slowdown reducing Gulf state import spending</w:t>
      </w:r>
    </w:p>
    <w:p>
      <w:pPr>
        <w:pStyle w:val="ListParagraph"/>
        <w:numPr>
          <w:ilvl w:val="0"/>
          <w:numId w:val="2"/>
        </w:numPr>
        <w:spacing w:after="80"/>
      </w:pPr>
      <w:r>
        <w:rPr>
          <w:rFonts w:ascii="Arial" w:cs="Arial" w:eastAsia="Arial" w:hAnsi="Arial"/>
          <w:color w:val="2C3E50"/>
          <w:sz w:val="22"/>
          <w:szCs w:val="22"/>
        </w:rPr>
        <w:t xml:space="preserve">Indonesian production scaling to fill the Guatemala supply gap</w:t>
      </w:r>
    </w:p>
    <w:p>
      <w:pPr>
        <w:spacing w:after="60"/>
      </w:pPr>
    </w:p>
    <w:p>
      <w:pPr>
        <w:pStyle w:val="Heading2"/>
      </w:pPr>
      <w:r>
        <w:t xml:space="preserve">9.3 Medium-Term Outlook (12–24 Months)</w:t>
      </w:r>
    </w:p>
    <w:p>
      <w:pPr>
        <w:spacing w:after="60"/>
      </w:pPr>
    </w:p>
    <w:p>
      <w:pPr>
        <w:spacing w:after="160"/>
        <w:jc w:val="both"/>
      </w:pPr>
      <w:r>
        <w:rPr>
          <w:rFonts w:ascii="Arial" w:cs="Arial" w:eastAsia="Arial" w:hAnsi="Arial"/>
          <w:color w:val="2C3E50"/>
          <w:sz w:val="22"/>
          <w:szCs w:val="22"/>
        </w:rPr>
        <w:t xml:space="preserve">The balance of structural forces suggests the current bull run has room to persist through 2026, supported by the Guatemala supply deficit and normal seasonal patterns. However, the 6–8 year cobweb cycle and current planting incentives point toward a cyclical peak forming in late 2026 or early 2027, with meaningful supply response expected by 2027–28. The production cost floor of approximately ₹600–650/kg (by 2027, accounting for 5% annual cost inflation) would limit downside in any correction. Investors and market participants should closely monitor Guatemala export data, ENSO forecasts, and Google Trends planting interest as leading indicators of the next regime transition.</w:t>
      </w:r>
    </w:p>
    <w:p>
      <w:r>
        <w:br w:type="page"/>
      </w:r>
    </w:p>
    <w:p>
      <w:pPr>
        <w:pStyle w:val="Heading1"/>
      </w:pPr>
      <w:r>
        <w:t xml:space="preserve">10. Appendix: Data Coverage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00"/>
        <w:gridCol w:w="19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Dataset</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Frequency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Small Cardamom Auction Prices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Indian Spice Board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Daily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Nov 2014 – Feb 2026</w:t>
            </w:r>
          </w:p>
        </w:tc>
      </w:tr>
      <w:tr>
        <w:tc>
          <w:tcPr>
            <w:tcW w:type="dxa" w:w="3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Guatemala Cardamom Exports</w:t>
            </w:r>
          </w:p>
        </w:tc>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UN Comtrade</w:t>
            </w:r>
          </w:p>
        </w:tc>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Monthly</w:t>
            </w:r>
          </w:p>
        </w:tc>
        <w:tc>
          <w:tcPr>
            <w:tcW w:type="dxa" w:w="19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Jan 2014 – Sep 2025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Saudi Arabia Imports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UN Comtrade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Monthly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Jan 2015 – Jul 2025</w:t>
            </w:r>
          </w:p>
        </w:tc>
      </w:tr>
      <w:tr>
        <w:tc>
          <w:tcPr>
            <w:tcW w:type="dxa" w:w="3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FAOSTAT Production Data</w:t>
            </w:r>
          </w:p>
        </w:tc>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FAO</w:t>
            </w:r>
          </w:p>
        </w:tc>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Annual</w:t>
            </w:r>
          </w:p>
        </w:tc>
        <w:tc>
          <w:tcPr>
            <w:tcW w:type="dxa" w:w="19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2010 – 2021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ENSO / ONI Index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NOAA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3-month rolling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1950 – 2025</w:t>
            </w:r>
          </w:p>
        </w:tc>
      </w:tr>
      <w:tr>
        <w:tc>
          <w:tcPr>
            <w:tcW w:type="dxa" w:w="3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Idukki Weather</w:t>
            </w:r>
          </w:p>
        </w:tc>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IMD / NOAA</w:t>
            </w:r>
          </w:p>
        </w:tc>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Daily</w:t>
            </w:r>
          </w:p>
        </w:tc>
        <w:tc>
          <w:tcPr>
            <w:tcW w:type="dxa" w:w="19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2014 –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Guatemala Weather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NOAA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Daily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2014 – 2026</w:t>
            </w:r>
          </w:p>
        </w:tc>
      </w:tr>
      <w:tr>
        <w:tc>
          <w:tcPr>
            <w:tcW w:type="dxa" w:w="3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USD/INR Exchange Rate</w:t>
            </w:r>
          </w:p>
        </w:tc>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RBI / Market</w:t>
            </w:r>
          </w:p>
        </w:tc>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Daily</w:t>
            </w:r>
          </w:p>
        </w:tc>
        <w:tc>
          <w:tcPr>
            <w:tcW w:type="dxa" w:w="19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2014 –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Crude Oil (Brent)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Market Data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Daily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2014 – 2026</w:t>
            </w:r>
          </w:p>
        </w:tc>
      </w:tr>
      <w:tr>
        <w:tc>
          <w:tcPr>
            <w:tcW w:type="dxa" w:w="3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Gold Prices</w:t>
            </w:r>
          </w:p>
        </w:tc>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Market Data</w:t>
            </w:r>
          </w:p>
        </w:tc>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Daily</w:t>
            </w:r>
          </w:p>
        </w:tc>
        <w:tc>
          <w:tcPr>
            <w:tcW w:type="dxa" w:w="19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2014 –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Nifty50 Index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NSE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Daily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2014 – 2026</w:t>
            </w:r>
          </w:p>
        </w:tc>
      </w:tr>
      <w:tr>
        <w:tc>
          <w:tcPr>
            <w:tcW w:type="dxa" w:w="32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Google Trends</w:t>
            </w:r>
          </w:p>
        </w:tc>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Google</w:t>
            </w:r>
          </w:p>
        </w:tc>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Monthly</w:t>
            </w:r>
          </w:p>
        </w:tc>
        <w:tc>
          <w:tcPr>
            <w:tcW w:type="dxa" w:w="19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Jan 2014 – Dec 2025</w:t>
            </w:r>
          </w:p>
        </w:tc>
      </w:tr>
    </w:tbl>
    <w:p>
      <w:pPr>
        <w:spacing w:after="60"/>
      </w:pPr>
    </w:p>
    <w:p>
      <w:pPr>
        <w:spacing w:after="60"/>
      </w:pPr>
    </w:p>
    <w:p>
      <w:pPr>
        <w:spacing w:before="400"/>
        <w:jc w:val="center"/>
      </w:pPr>
      <w:r>
        <w:rPr>
          <w:rFonts w:ascii="Arial" w:cs="Arial" w:eastAsia="Arial" w:hAnsi="Arial"/>
          <w:i/>
          <w:iCs/>
          <w:color w:val="7F8C8D"/>
          <w:sz w:val="22"/>
          <w:szCs w:val="22"/>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Cardamom Market Research Report  |  Blume Ventures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2026-02-07T11:28:02.441Z</dcterms:created>
  <dcterms:modified xsi:type="dcterms:W3CDTF">2026-02-07T11:28:02.443Z</dcterms:modified>
</cp:coreProperties>
</file>

<file path=docProps/custom.xml><?xml version="1.0" encoding="utf-8"?>
<Properties xmlns="http://schemas.openxmlformats.org/officeDocument/2006/custom-properties" xmlns:vt="http://schemas.openxmlformats.org/officeDocument/2006/docPropsVTypes"/>
</file>