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Arial" w:hAnsi="Arial"/>
          <w:b/>
          <w:i w:val="0"/>
          <w:color w:val="2878B5"/>
          <w:sz w:val="18"/>
        </w:rPr>
        <w:t>PRE-SEED INVESTMENT BRIEF</w:t>
      </w:r>
    </w:p>
    <w:p>
      <w:pPr>
        <w:keepNext w:val="0"/>
        <w:spacing w:before="0" w:after="20" w:line="264" w:lineRule="auto"/>
        <w:jc w:val="left"/>
      </w:pPr>
      <w:r>
        <w:rPr>
          <w:rFonts w:ascii="Arial" w:hAnsi="Arial"/>
          <w:b/>
          <w:i w:val="0"/>
          <w:color w:val="17324D"/>
          <w:sz w:val="56"/>
        </w:rPr>
        <w:t>CEAtlas</w:t>
      </w:r>
    </w:p>
    <w:p>
      <w:pPr>
        <w:keepNext w:val="0"/>
        <w:spacing w:before="0" w:after="240" w:line="264" w:lineRule="auto"/>
        <w:jc w:val="left"/>
      </w:pPr>
      <w:r>
        <w:rPr>
          <w:rFonts w:ascii="Arial" w:hAnsi="Arial"/>
          <w:b w:val="0"/>
          <w:i w:val="0"/>
          <w:color w:val="647383"/>
          <w:sz w:val="27"/>
        </w:rPr>
        <w:t>Turning a functioning CE discovery beta into a reliable transaction-enabled marketplace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5" w:type="dxa"/>
              <w:start w:w="110" w:type="dxa"/>
              <w:bottom w:w="85" w:type="dxa"/>
              <w:end w:w="110" w:type="dxa"/>
            </w:tcMar>
            <w:shd w:fill="EAF5EF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7D5B"/>
                <w:sz w:val="17"/>
              </w:rPr>
              <w:t>THE ASK</w:t>
            </w:r>
          </w:p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18222D"/>
                <w:sz w:val="22"/>
              </w:rPr>
              <w:t>$500,000 for approximately 18 months of runway, targeting roughly 8-9% ownership on final agreed terms.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What already exists</w:t>
      </w:r>
    </w:p>
    <w:p>
      <w:pPr>
        <w:keepNext w:val="0"/>
        <w:spacing w:before="0" w:after="120" w:line="264" w:lineRule="auto"/>
        <w:jc w:val="left"/>
      </w:pPr>
      <w:r>
        <w:rPr>
          <w:rFonts w:ascii="Arial" w:hAnsi="Arial"/>
          <w:b w:val="0"/>
          <w:i w:val="0"/>
          <w:color w:val="18222D"/>
          <w:sz w:val="21"/>
        </w:rPr>
        <w:t>CEAtlas is a live beta for dental continuing-education discovery and planning. It is not a concept-only pitch: the product already contains a structured catalog, provider data, search and comparison workflows, accounts, maps, state-requirement guidance, provider connections, and travel-related functionality.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F3F5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38"/>
              </w:rPr>
              <w:t>8,677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 w:val="0"/>
                <w:i w:val="0"/>
                <w:color w:val="647383"/>
                <w:sz w:val="17"/>
              </w:rPr>
              <w:t>courses and events displayed</w:t>
            </w:r>
          </w:p>
        </w:tc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F3F5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38"/>
              </w:rPr>
              <w:t>167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 w:val="0"/>
                <w:i w:val="0"/>
                <w:color w:val="647383"/>
                <w:sz w:val="17"/>
              </w:rPr>
              <w:t>providers and hosts displayed</w:t>
            </w:r>
          </w:p>
        </w:tc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F3F5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38"/>
              </w:rPr>
              <w:t>1</w:t>
            </w:r>
          </w:p>
          <w:p>
            <w:pPr>
              <w:spacing w:after="20"/>
              <w:jc w:val="center"/>
            </w:pPr>
            <w:r>
              <w:rPr>
                <w:rFonts w:ascii="Arial" w:hAnsi="Arial"/>
                <w:b w:val="0"/>
                <w:i w:val="0"/>
                <w:color w:val="647383"/>
                <w:sz w:val="17"/>
              </w:rPr>
              <w:t>working marketplace foundation</w:t>
            </w:r>
          </w:p>
        </w:tc>
      </w:tr>
    </w:tbl>
    <w:p>
      <w:pPr>
        <w:pStyle w:val="Heading1"/>
        <w:keepNext/>
      </w:pPr>
      <w:r>
        <w:t>What the financing changes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Founder full-time.</w:t>
      </w:r>
      <w:r>
        <w:rPr>
          <w:rFonts w:ascii="Arial" w:hAnsi="Arial"/>
          <w:b w:val="0"/>
          <w:i w:val="0"/>
          <w:color w:val="18222D"/>
          <w:sz w:val="21"/>
        </w:rPr>
        <w:t xml:space="preserve"> The founder leaves outside employment and focuses on product, providers, distribution, and commercialization.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Production-grade engineering.</w:t>
      </w:r>
      <w:r>
        <w:rPr>
          <w:rFonts w:ascii="Arial" w:hAnsi="Arial"/>
          <w:b w:val="0"/>
          <w:i w:val="0"/>
          <w:color w:val="18222D"/>
          <w:sz w:val="21"/>
        </w:rPr>
        <w:t xml:space="preserve"> A staged senior engineer audits, stabilizes, tests, and extends the existing platform before the company commits to a larger team.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Provider-side commerce.</w:t>
      </w:r>
      <w:r>
        <w:rPr>
          <w:rFonts w:ascii="Arial" w:hAnsi="Arial"/>
          <w:b w:val="0"/>
          <w:i w:val="0"/>
          <w:color w:val="18222D"/>
          <w:sz w:val="21"/>
        </w:rPr>
        <w:t xml:space="preserve"> CEAtlas builds toward provider claiming, course management, analytics, direct registration, and transaction revenue.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Evidence for the next decision.</w:t>
      </w:r>
      <w:r>
        <w:rPr>
          <w:rFonts w:ascii="Arial" w:hAnsi="Arial"/>
          <w:b w:val="0"/>
          <w:i w:val="0"/>
          <w:color w:val="18222D"/>
          <w:sz w:val="21"/>
        </w:rPr>
        <w:t xml:space="preserve"> The company uses the runway to measure acquisition, provider activation, conversion, retention, and marketplace revenue.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878B5"/>
                <w:sz w:val="17"/>
              </w:rPr>
              <w:t>INVESTMENT RATIONALE</w:t>
            </w:r>
          </w:p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18222D"/>
                <w:sz w:val="22"/>
              </w:rPr>
              <w:t>The capital is not being raised to start building CEAtlas. It is being raised to convert an unusually capital-efficient product head start into a reliable, defensible, revenue-producing company.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 w:val="0"/>
        <w:spacing w:before="0" w:after="80" w:line="264" w:lineRule="auto"/>
        <w:jc w:val="left"/>
      </w:pPr>
      <w:r>
        <w:rPr>
          <w:rFonts w:ascii="Arial" w:hAnsi="Arial"/>
          <w:b/>
          <w:i w:val="0"/>
          <w:color w:val="2878B5"/>
          <w:sz w:val="18"/>
        </w:rPr>
        <w:t>USE OF FUNDS</w:t>
      </w:r>
    </w:p>
    <w:p>
      <w:pPr>
        <w:keepNext w:val="0"/>
        <w:spacing w:before="0" w:after="40" w:line="264" w:lineRule="auto"/>
        <w:jc w:val="left"/>
      </w:pPr>
      <w:r>
        <w:rPr>
          <w:rFonts w:ascii="Arial" w:hAnsi="Arial"/>
          <w:b/>
          <w:i w:val="0"/>
          <w:color w:val="17324D"/>
          <w:sz w:val="44"/>
        </w:rPr>
        <w:t>$500,000 - 18-Month Operating Plan</w:t>
      </w:r>
    </w:p>
    <w:p>
      <w:pPr>
        <w:keepNext w:val="0"/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47383"/>
          <w:sz w:val="23"/>
        </w:rPr>
        <w:t>$421,200 of planned operating investment plus a $78,800 controlled reserve.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250"/>
        <w:gridCol w:w="700"/>
        <w:gridCol w:w="5210"/>
      </w:tblGrid>
      <w:tr>
        <w:trPr>
          <w:tblHeader w:val="true"/>
        </w:trPr>
        <w:tc>
          <w:tcPr>
            <w:tcW w:type="dxa" w:w="2200"/>
            <w:shd w:fill="17324D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1250"/>
            <w:shd w:fill="17324D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Amount</w:t>
            </w:r>
          </w:p>
        </w:tc>
        <w:tc>
          <w:tcPr>
            <w:tcW w:type="dxa" w:w="700"/>
            <w:shd w:fill="17324D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%</w:t>
            </w:r>
          </w:p>
        </w:tc>
        <w:tc>
          <w:tcPr>
            <w:tcW w:type="dxa" w:w="5210"/>
            <w:shd w:fill="17324D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Founder compensation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$135,000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27.0%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$90,000 annual gross salary for 18 months</w:t>
            </w:r>
          </w:p>
        </w:tc>
      </w:tr>
      <w:tr>
        <w:tc>
          <w:tcPr>
            <w:tcW w:type="dxa" w:w="22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Staged engineering</w:t>
            </w:r>
          </w:p>
        </w:tc>
        <w:tc>
          <w:tcPr>
            <w:tcW w:type="dxa" w:w="12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$145,000</w:t>
            </w:r>
          </w:p>
        </w:tc>
        <w:tc>
          <w:tcPr>
            <w:tcW w:type="dxa" w:w="7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29.0%</w:t>
            </w:r>
          </w:p>
        </w:tc>
        <w:tc>
          <w:tcPr>
            <w:tcW w:type="dxa" w:w="52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Audit, stabilization, launch reliability, provider tools and transactions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Founder payroll burden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$16,200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3.2%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Employer payroll taxes and benefit allowance; engineering assumes contractor staging</w:t>
            </w:r>
          </w:p>
        </w:tc>
      </w:tr>
      <w:tr>
        <w:tc>
          <w:tcPr>
            <w:tcW w:type="dxa" w:w="22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Security / penetration testing</w:t>
            </w:r>
          </w:p>
        </w:tc>
        <w:tc>
          <w:tcPr>
            <w:tcW w:type="dxa" w:w="12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$15,000</w:t>
            </w:r>
          </w:p>
        </w:tc>
        <w:tc>
          <w:tcPr>
            <w:tcW w:type="dxa" w:w="7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3.0%</w:t>
            </w:r>
          </w:p>
        </w:tc>
        <w:tc>
          <w:tcPr>
            <w:tcW w:type="dxa" w:w="52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Independent web/API review, written findings and remediation retest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Cloud / data / software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$20,000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4.0%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Hosting, database, scraping compute, monitoring, analytics and operating software</w:t>
            </w:r>
          </w:p>
        </w:tc>
      </w:tr>
      <w:tr>
        <w:tc>
          <w:tcPr>
            <w:tcW w:type="dxa" w:w="22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Product / UI design</w:t>
            </w:r>
          </w:p>
        </w:tc>
        <w:tc>
          <w:tcPr>
            <w:tcW w:type="dxa" w:w="12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$12,000</w:t>
            </w:r>
          </w:p>
        </w:tc>
        <w:tc>
          <w:tcPr>
            <w:tcW w:type="dxa" w:w="7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2.4%</w:t>
            </w:r>
          </w:p>
        </w:tc>
        <w:tc>
          <w:tcPr>
            <w:tcW w:type="dxa" w:w="52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UX review, launch polish, accessibility and provider/checkout workflows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Marketing / user acquisition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$30,000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6.0%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SEO/content and measured channel experiments after analytics is reliable</w:t>
            </w:r>
          </w:p>
        </w:tc>
      </w:tr>
      <w:tr>
        <w:tc>
          <w:tcPr>
            <w:tcW w:type="dxa" w:w="22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Provider acquisition / sales</w:t>
            </w:r>
          </w:p>
        </w:tc>
        <w:tc>
          <w:tcPr>
            <w:tcW w:type="dxa" w:w="12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$12,000</w:t>
            </w:r>
          </w:p>
        </w:tc>
        <w:tc>
          <w:tcPr>
            <w:tcW w:type="dxa" w:w="7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2.4%</w:t>
            </w:r>
          </w:p>
        </w:tc>
        <w:tc>
          <w:tcPr>
            <w:tcW w:type="dxa" w:w="52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Founder-led outreach, CRM, onboarding assets and integration support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Legal / corporate / IP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$18,000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3.6%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Formation, financing, founder stock, IP assignment, contracts and policies</w:t>
            </w:r>
          </w:p>
        </w:tc>
      </w:tr>
      <w:tr>
        <w:tc>
          <w:tcPr>
            <w:tcW w:type="dxa" w:w="22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Accounting / payroll / tax</w:t>
            </w:r>
          </w:p>
        </w:tc>
        <w:tc>
          <w:tcPr>
            <w:tcW w:type="dxa" w:w="12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$8,000</w:t>
            </w:r>
          </w:p>
        </w:tc>
        <w:tc>
          <w:tcPr>
            <w:tcW w:type="dxa" w:w="7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1.6%</w:t>
            </w:r>
          </w:p>
        </w:tc>
        <w:tc>
          <w:tcPr>
            <w:tcW w:type="dxa" w:w="52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Bookkeeping, payroll, tax filings and investor-ready reporting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Insurance / administration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$5,000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1.0%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Cyber/E&amp;O/D&amp;O/general coverage, registered agent and state administration</w:t>
            </w:r>
          </w:p>
        </w:tc>
      </w:tr>
      <w:tr>
        <w:tc>
          <w:tcPr>
            <w:tcW w:type="dxa" w:w="22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Travel / industry research</w:t>
            </w:r>
          </w:p>
        </w:tc>
        <w:tc>
          <w:tcPr>
            <w:tcW w:type="dxa" w:w="12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$5,000</w:t>
            </w:r>
          </w:p>
        </w:tc>
        <w:tc>
          <w:tcPr>
            <w:tcW w:type="dxa" w:w="7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1.0%</w:t>
            </w:r>
          </w:p>
        </w:tc>
        <w:tc>
          <w:tcPr>
            <w:tcW w:type="dxa" w:w="52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Selective provider meetings, conferences and travel-market validation</w:t>
            </w:r>
          </w:p>
        </w:tc>
      </w:tr>
      <w:tr>
        <w:tc>
          <w:tcPr>
            <w:tcW w:type="dxa" w:w="22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Unallocated runway reserve</w:t>
            </w:r>
          </w:p>
        </w:tc>
        <w:tc>
          <w:tcPr>
            <w:tcW w:type="dxa" w:w="12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i w:val="0"/>
                <w:color w:val="18222D"/>
                <w:sz w:val="16"/>
              </w:rPr>
              <w:t>$78,800</w:t>
            </w:r>
          </w:p>
        </w:tc>
        <w:tc>
          <w:tcPr>
            <w:tcW w:type="dxa" w:w="7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6"/>
              </w:rPr>
              <w:t>15.8%</w:t>
            </w:r>
          </w:p>
        </w:tc>
        <w:tc>
          <w:tcPr>
            <w:tcW w:type="dxa" w:w="52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5"/>
              </w:rPr>
              <w:t>Overruns, an unexpectedly productive channel, added engineering or runway extension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2080"/>
        <w:gridCol w:w="2080"/>
      </w:tblGrid>
      <w:tr>
        <w:tc>
          <w:tcPr>
            <w:tcW w:type="dxa" w:w="5200"/>
            <w:tcMar>
              <w:top w:w="85" w:type="dxa"/>
              <w:start w:w="110" w:type="dxa"/>
              <w:bottom w:w="85" w:type="dxa"/>
              <w:end w:w="110" w:type="dxa"/>
            </w:tcMar>
            <w:shd w:fill="EAF5EF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E7D5B"/>
                <w:sz w:val="21"/>
              </w:rPr>
              <w:t>TOTAL</w:t>
            </w:r>
          </w:p>
        </w:tc>
        <w:tc>
          <w:tcPr>
            <w:tcW w:type="dxa" w:w="2080"/>
            <w:tcMar>
              <w:top w:w="85" w:type="dxa"/>
              <w:start w:w="110" w:type="dxa"/>
              <w:bottom w:w="85" w:type="dxa"/>
              <w:end w:w="110" w:type="dxa"/>
            </w:tcMar>
            <w:shd w:fill="EAF5EF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E7D5B"/>
                <w:sz w:val="21"/>
              </w:rPr>
              <w:t>$500,000</w:t>
            </w:r>
          </w:p>
        </w:tc>
        <w:tc>
          <w:tcPr>
            <w:tcW w:type="dxa" w:w="2080"/>
            <w:tcMar>
              <w:top w:w="85" w:type="dxa"/>
              <w:start w:w="110" w:type="dxa"/>
              <w:bottom w:w="85" w:type="dxa"/>
              <w:end w:w="110" w:type="dxa"/>
            </w:tcMar>
            <w:shd w:fill="EAF5EF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2E7D5B"/>
                <w:sz w:val="21"/>
              </w:rPr>
              <w:t>100.0%</w:t>
            </w:r>
          </w:p>
        </w:tc>
      </w:tr>
    </w:tbl>
    <w:p>
      <w:pPr>
        <w:keepNext w:val="0"/>
        <w:spacing w:before="120" w:after="0" w:line="264" w:lineRule="auto"/>
        <w:jc w:val="left"/>
      </w:pPr>
      <w:r>
        <w:rPr>
          <w:rFonts w:ascii="Arial" w:hAnsi="Arial"/>
          <w:b w:val="0"/>
          <w:i/>
          <w:color w:val="647383"/>
          <w:sz w:val="18"/>
        </w:rPr>
        <w:t>Budget discipline: engineering is staged, security follows initial remediation, marketing is released through measured experiments, and the reserve is not treated as automatic spending.</w:t>
      </w:r>
    </w:p>
    <w:p>
      <w:r>
        <w:br w:type="page"/>
      </w:r>
    </w:p>
    <w:p>
      <w:pPr>
        <w:keepNext w:val="0"/>
        <w:spacing w:before="0" w:after="80" w:line="264" w:lineRule="auto"/>
        <w:jc w:val="left"/>
      </w:pPr>
      <w:r>
        <w:rPr>
          <w:rFonts w:ascii="Arial" w:hAnsi="Arial"/>
          <w:b/>
          <w:i w:val="0"/>
          <w:color w:val="2878B5"/>
          <w:sz w:val="18"/>
        </w:rPr>
        <w:t>MILESTONES AND CAPITAL JUSTIFICATION</w:t>
      </w:r>
    </w:p>
    <w:p>
      <w:pPr>
        <w:keepNext w:val="0"/>
        <w:spacing w:before="0" w:after="160" w:line="264" w:lineRule="auto"/>
        <w:jc w:val="left"/>
      </w:pPr>
      <w:r>
        <w:rPr>
          <w:rFonts w:ascii="Arial" w:hAnsi="Arial"/>
          <w:b/>
          <w:i w:val="0"/>
          <w:color w:val="17324D"/>
          <w:sz w:val="44"/>
        </w:rPr>
        <w:t>What $500,000 Is Expected to Produce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800"/>
        <w:gridCol w:w="6110"/>
      </w:tblGrid>
      <w:tr>
        <w:trPr>
          <w:tblHeader w:val="true"/>
        </w:trPr>
        <w:tc>
          <w:tcPr>
            <w:tcW w:type="dxa" w:w="1450"/>
            <w:shd w:fill="17324D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Timing</w:t>
            </w:r>
          </w:p>
        </w:tc>
        <w:tc>
          <w:tcPr>
            <w:tcW w:type="dxa" w:w="1800"/>
            <w:shd w:fill="17324D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6110"/>
            <w:shd w:fill="17324D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Expected progress</w:t>
            </w:r>
          </w:p>
        </w:tc>
      </w:tr>
      <w:tr>
        <w:tc>
          <w:tcPr>
            <w:tcW w:type="dxa" w:w="14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Months 0-3</w:t>
            </w:r>
          </w:p>
        </w:tc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Foundation</w:t>
            </w:r>
          </w:p>
        </w:tc>
        <w:tc>
          <w:tcPr>
            <w:tcW w:type="dxa" w:w="61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8"/>
              </w:rPr>
              <w:t>Form company and banking; founder full-time; engineering audit; restore catalog pipeline; fix major defects; install analytics; complete first security remediation.</w:t>
            </w:r>
          </w:p>
        </w:tc>
      </w:tr>
      <w:tr>
        <w:tc>
          <w:tcPr>
            <w:tcW w:type="dxa" w:w="14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Months 3-6</w:t>
            </w:r>
          </w:p>
        </w:tc>
        <w:tc>
          <w:tcPr>
            <w:tcW w:type="dxa" w:w="18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Prove demand</w:t>
            </w:r>
          </w:p>
        </w:tc>
        <w:tc>
          <w:tcPr>
            <w:tcW w:type="dxa" w:w="61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8"/>
              </w:rPr>
              <w:t>Relaunch a polished core experience; improve catalog quality; begin provider claiming; conduct founder-led provider interviews; run controlled acquisition tests.</w:t>
            </w:r>
          </w:p>
        </w:tc>
      </w:tr>
      <w:tr>
        <w:tc>
          <w:tcPr>
            <w:tcW w:type="dxa" w:w="145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Months 6-12</w:t>
            </w:r>
          </w:p>
        </w:tc>
        <w:tc>
          <w:tcPr>
            <w:tcW w:type="dxa" w:w="180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Build the marketplace</w:t>
            </w:r>
          </w:p>
        </w:tc>
        <w:tc>
          <w:tcPr>
            <w:tcW w:type="dxa" w:w="6110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8"/>
              </w:rPr>
              <w:t>Provider dashboard and course-management workflows; transaction MVP; user accounts and CE planning; initial monetization; measure conversion and retention.</w:t>
            </w:r>
          </w:p>
        </w:tc>
      </w:tr>
      <w:tr>
        <w:tc>
          <w:tcPr>
            <w:tcW w:type="dxa" w:w="145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Months 12-18</w:t>
            </w:r>
          </w:p>
        </w:tc>
        <w:tc>
          <w:tcPr>
            <w:tcW w:type="dxa" w:w="180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/>
                <w:i w:val="0"/>
                <w:color w:val="18222D"/>
                <w:sz w:val="18"/>
              </w:rPr>
              <w:t>Prove the company</w:t>
            </w:r>
          </w:p>
        </w:tc>
        <w:tc>
          <w:tcPr>
            <w:tcW w:type="dxa" w:w="6110"/>
            <w:shd w:fill="F3F5F7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after="20" w:line="252" w:lineRule="auto"/>
            </w:pPr>
            <w:r>
              <w:rPr>
                <w:rFonts w:ascii="Arial" w:hAnsi="Arial"/>
                <w:b w:val="0"/>
                <w:i w:val="0"/>
                <w:color w:val="18222D"/>
                <w:sz w:val="18"/>
              </w:rPr>
              <w:t>Scale the channels that work; expand provider acquisition and professions; validate travel monetization; grow transaction activity; prepare the next financing or sustainability plan.</w:t>
            </w:r>
          </w:p>
        </w:tc>
      </w:tr>
    </w:tbl>
    <w:p>
      <w:pPr>
        <w:pStyle w:val="Heading1"/>
        <w:keepNext/>
      </w:pPr>
      <w:r>
        <w:t>Why the amount is justified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Runway protects execution.</w:t>
      </w:r>
      <w:r>
        <w:rPr>
          <w:rFonts w:ascii="Arial" w:hAnsi="Arial"/>
          <w:b w:val="0"/>
          <w:i w:val="0"/>
          <w:color w:val="18222D"/>
          <w:sz w:val="21"/>
        </w:rPr>
        <w:t xml:space="preserve"> An 18-month plan reduces the risk that the company must fundraise again before engineering and commercial evidence materially improve.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The product has a real head start.</w:t>
      </w:r>
      <w:r>
        <w:rPr>
          <w:rFonts w:ascii="Arial" w:hAnsi="Arial"/>
          <w:b w:val="0"/>
          <w:i w:val="0"/>
          <w:color w:val="18222D"/>
          <w:sz w:val="21"/>
        </w:rPr>
        <w:t xml:space="preserve"> Capital is applied to reliability, transactions and distribution rather than beginning from a blank page.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Engineering risk is controlled.</w:t>
      </w:r>
      <w:r>
        <w:rPr>
          <w:rFonts w:ascii="Arial" w:hAnsi="Arial"/>
          <w:b w:val="0"/>
          <w:i w:val="0"/>
          <w:color w:val="18222D"/>
          <w:sz w:val="21"/>
        </w:rPr>
        <w:t xml:space="preserve"> The budget supports a senior audit and staged engagement before any permanent technical-team decision.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Commercial learning stays founder-led.</w:t>
      </w:r>
      <w:r>
        <w:rPr>
          <w:rFonts w:ascii="Arial" w:hAnsi="Arial"/>
          <w:b w:val="0"/>
          <w:i w:val="0"/>
          <w:color w:val="18222D"/>
          <w:sz w:val="21"/>
        </w:rPr>
        <w:t xml:space="preserve"> Early provider conversations remain with the founder until a repeatable value proposition and sales process emerge.</w:t>
      </w:r>
    </w:p>
    <w:p>
      <w:pPr>
        <w:pStyle w:val="ListBullet"/>
        <w:spacing w:after="60" w:line="259" w:lineRule="auto"/>
      </w:pPr>
      <w:r>
        <w:rPr>
          <w:rFonts w:ascii="Arial" w:hAnsi="Arial"/>
          <w:b/>
          <w:i w:val="0"/>
          <w:color w:val="18222D"/>
          <w:sz w:val="21"/>
        </w:rPr>
        <w:t>The reserve is strategic, not decorative.</w:t>
      </w:r>
      <w:r>
        <w:rPr>
          <w:rFonts w:ascii="Arial" w:hAnsi="Arial"/>
          <w:b w:val="0"/>
          <w:i w:val="0"/>
          <w:color w:val="18222D"/>
          <w:sz w:val="21"/>
        </w:rPr>
        <w:t xml:space="preserve"> It allows the company to respond to the actual bottleneck while maintaining a cash floor.</w:t>
      </w:r>
    </w:p>
    <w:p>
      <w:pPr>
        <w:pStyle w:val="Heading1"/>
        <w:keepNext/>
      </w:pPr>
      <w:r>
        <w:t>Capital controls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878B5"/>
                <w:sz w:val="16"/>
              </w:rPr>
              <w:t>MONTHLY</w:t>
            </w:r>
          </w:p>
        </w:tc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878B5"/>
                <w:sz w:val="16"/>
              </w:rPr>
              <w:t>STAGE GATES</w:t>
            </w:r>
          </w:p>
        </w:tc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878B5"/>
                <w:sz w:val="16"/>
              </w:rPr>
              <w:t>MONTH 12</w:t>
            </w:r>
          </w:p>
        </w:tc>
      </w:tr>
      <w:tr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F3F5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Reforecast burn, runway and reserve</w:t>
            </w:r>
          </w:p>
        </w:tc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F3F5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Approve engineering, security and growth in phases</w:t>
            </w:r>
          </w:p>
        </w:tc>
        <w:tc>
          <w:tcPr>
            <w:tcW w:type="dxa" w:w="3120"/>
            <w:tcMar>
              <w:top w:w="85" w:type="dxa"/>
              <w:start w:w="110" w:type="dxa"/>
              <w:bottom w:w="85" w:type="dxa"/>
              <w:end w:w="110" w:type="dxa"/>
            </w:tcMar>
            <w:shd w:fill="F3F5F7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24D"/>
                <w:sz w:val="18"/>
              </w:rPr>
              <w:t>Begin next-financing or sustainability decision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5" w:type="dxa"/>
              <w:start w:w="110" w:type="dxa"/>
              <w:bottom w:w="85" w:type="dxa"/>
              <w:end w:w="110" w:type="dxa"/>
            </w:tcMar>
            <w:shd w:fill="EAF5EF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2E7D5B"/>
                <w:sz w:val="17"/>
              </w:rPr>
              <w:t>THE OUTCOME</w:t>
            </w:r>
          </w:p>
          <w:p>
            <w:pPr>
              <w:spacing w:after="20" w:line="259" w:lineRule="auto"/>
            </w:pPr>
            <w:r>
              <w:rPr>
                <w:rFonts w:ascii="Arial" w:hAnsi="Arial"/>
                <w:b/>
                <w:i w:val="0"/>
                <w:color w:val="18222D"/>
                <w:sz w:val="22"/>
              </w:rPr>
              <w:t>By month 18, CEAtlas should be able to demonstrate whether it can become a scalable marketplace: reliable supply, activated providers, measurable user demand, transaction behavior, and a credible path to revenue growth.</w:t>
            </w:r>
          </w:p>
        </w:tc>
      </w:tr>
    </w:tbl>
    <w:p>
      <w:pPr>
        <w:spacing w:after="20"/>
      </w:pPr>
    </w:p>
    <w:p>
      <w:pPr>
        <w:keepNext w:val="0"/>
        <w:spacing w:before="80" w:after="0" w:line="264" w:lineRule="auto"/>
        <w:jc w:val="left"/>
      </w:pPr>
      <w:r>
        <w:rPr>
          <w:rFonts w:ascii="Arial" w:hAnsi="Arial"/>
          <w:b w:val="0"/>
          <w:i/>
          <w:color w:val="647383"/>
          <w:sz w:val="16"/>
        </w:rPr>
        <w:t>Discussion draft - figures are planning estimates and remain subject to vendor quotes, legal structure, worker classification, benefits and final financing terms.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893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647383"/>
        <w:sz w:val="17"/>
      </w:rPr>
      <w:t>CEAtlas - $500,000 Pre-Seed Use of Funds</w:t>
    </w:r>
  </w:p>
  <w:p>
    <w:pPr>
      <w:jc w:val="right"/>
    </w:pPr>
    <w:r>
      <w:rPr>
        <w:rFonts w:ascii="Arial" w:hAnsi="Arial"/>
        <w:b w:val="0"/>
        <w:i w:val="0"/>
        <w:color w:val="647383"/>
        <w:sz w:val="17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647383"/>
        <w:sz w:val="17"/>
      </w:rPr>
      <w:t>CEAtlas - $500,000 Pre-Seed Use of Funds</w:t>
    </w:r>
  </w:p>
  <w:p>
    <w:pPr>
      <w:jc w:val="right"/>
    </w:pPr>
    <w:r>
      <w:rPr>
        <w:rFonts w:ascii="Arial" w:hAnsi="Arial"/>
        <w:b w:val="0"/>
        <w:i w:val="0"/>
        <w:color w:val="647383"/>
        <w:sz w:val="17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Arial" w:hAnsi="Arial"/>
        <w:b w:val="0"/>
        <w:i w:val="0"/>
        <w:color w:val="647383"/>
        <w:sz w:val="17"/>
      </w:rPr>
      <w:t>CEAtlas - $500,000 Pre-Seed Use of Funds</w:t>
    </w:r>
  </w:p>
  <w:p>
    <w:pPr>
      <w:jc w:val="right"/>
    </w:pPr>
    <w:r>
      <w:rPr>
        <w:rFonts w:ascii="Arial" w:hAnsi="Arial"/>
        <w:b w:val="0"/>
        <w:i w:val="0"/>
        <w:color w:val="647383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/>
        <w:i w:val="0"/>
        <w:color w:val="647383"/>
        <w:sz w:val="16"/>
      </w:rPr>
      <w:t>CEATLAS  |  CONFIDENTIAL DISCUSSION DRAFT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/>
        <w:i w:val="0"/>
        <w:color w:val="647383"/>
        <w:sz w:val="16"/>
      </w:rPr>
      <w:t>CEATLAS  |  CONFIDENTIAL DISCUSSION DRAFT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Arial" w:hAnsi="Arial"/>
        <w:b/>
        <w:i w:val="0"/>
        <w:color w:val="647383"/>
        <w:sz w:val="16"/>
      </w:rPr>
      <w:t>CEATLAS  |  CONFIDENTIAL DISCUSSION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1822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878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75" w:hanging="245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CEAtlas Investor Budget Handout</dc:title>
  <dc:subject>$500,000 pre-seed use of funds and 18-month milestone plan</dc:subject>
  <dc:creator>CEAtlas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