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Calibri" w:hAnsi="Calibri" w:eastAsia="Calibri"/>
          <w:b/>
          <w:color w:val="0B2545"/>
          <w:sz w:val="48"/>
        </w:rPr>
        <w:t>ClearPath Grant Application To-Do Tree</w:t>
      </w:r>
    </w:p>
    <w:p>
      <w:pPr>
        <w:spacing w:before="0" w:after="240" w:line="300" w:lineRule="auto"/>
      </w:pPr>
      <w:r>
        <w:rPr>
          <w:rFonts w:ascii="Calibri" w:hAnsi="Calibri" w:eastAsia="Calibri"/>
          <w:b w:val="0"/>
          <w:color w:val="5B677A"/>
          <w:sz w:val="24"/>
        </w:rPr>
        <w:t>A visual dependency map for the NIH/NLM SBIR Phase I application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40" w:line="300" w:lineRule="auto"/>
            </w:pPr>
            <w:r>
              <w:rPr>
                <w:rFonts w:ascii="Calibri" w:hAnsi="Calibri" w:eastAsia="Calibri"/>
                <w:b/>
                <w:color w:val="0B2545"/>
                <w:sz w:val="22"/>
              </w:rPr>
              <w:t>Working target</w:t>
            </w:r>
          </w:p>
          <w:p>
            <w:pPr>
              <w:spacing w:before="0" w:after="0" w:line="300" w:lineRule="auto"/>
            </w:pPr>
            <w:r>
              <w:rPr>
                <w:rFonts w:ascii="Calibri" w:hAnsi="Calibri" w:eastAsia="Calibri"/>
                <w:b w:val="0"/>
                <w:color w:val="1F2937"/>
                <w:sz w:val="21"/>
              </w:rPr>
              <w:t>Primary submission target: January 5, 2027. Backup target: April 5, 2027. September 5, 2026 is technically available but not the working target because company formation, registrations, advisors, writing, and review would be too compressed.</w:t>
            </w:r>
          </w:p>
        </w:tc>
      </w:tr>
    </w:tbl>
    <w:p>
      <w:pPr>
        <w:spacing w:after="40"/>
      </w:pPr>
    </w:p>
    <w:p>
      <w:pPr>
        <w:spacing w:before="360" w:after="200" w:line="300" w:lineRule="auto"/>
      </w:pPr>
      <w:r>
        <w:rPr>
          <w:rFonts w:ascii="Calibri" w:hAnsi="Calibri" w:eastAsia="Calibri"/>
          <w:b/>
          <w:color w:val="2E74B5"/>
          <w:sz w:val="32"/>
        </w:rPr>
        <w:t>At A Glance</w:t>
      </w:r>
    </w:p>
    <w:tbl>
      <w:tblPr>
        <w:tblW w:type="dxa" w:w="9360"/>
        <w:jc w:val="left"/>
        <w:tblLayout w:type="fixed"/>
        <w:tblLook w:firstColumn="1" w:firstRow="1" w:lastColumn="0" w:lastRow="0" w:noHBand="0" w:noVBand="1" w:val="04A0"/>
        <w:tblInd w:w="120" w:type="dxa"/>
      </w:tblPr>
      <w:tblGrid>
        <w:gridCol w:w="2100"/>
        <w:gridCol w:w="2280"/>
        <w:gridCol w:w="2280"/>
        <w:gridCol w:w="2700"/>
      </w:tblGrid>
      <w:tr>
        <w:tc>
          <w:tcPr>
            <w:tcW w:type="dxa" w:w="21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Area</w:t>
            </w:r>
          </w:p>
        </w:tc>
        <w:tc>
          <w:tcPr>
            <w:tcW w:type="dxa" w:w="22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Status</w:t>
            </w:r>
          </w:p>
        </w:tc>
        <w:tc>
          <w:tcPr>
            <w:tcW w:type="dxa" w:w="22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What it means</w:t>
            </w:r>
          </w:p>
        </w:tc>
        <w:tc>
          <w:tcPr>
            <w:tcW w:type="dxa" w:w="27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Next dependency</w:t>
            </w:r>
          </w:p>
        </w:tc>
      </w:tr>
      <w:tr>
        <w:tc>
          <w:tcPr>
            <w:tcW w:type="dxa" w:w="2100"/>
          </w:tcPr>
          <w:p>
            <w:pPr>
              <w:spacing w:before="0" w:after="0" w:line="276" w:lineRule="auto"/>
            </w:pPr>
            <w:r>
              <w:rPr>
                <w:rFonts w:ascii="Calibri" w:hAnsi="Calibri" w:eastAsia="Calibri"/>
                <w:b/>
                <w:color w:val="1F2937"/>
                <w:sz w:val="19"/>
              </w:rPr>
              <w:t>Funding path</w:t>
            </w:r>
          </w:p>
        </w:tc>
        <w:tc>
          <w:tcPr>
            <w:tcW w:type="dxa" w:w="2280"/>
            <w:shd w:fill="EAF5EF"/>
          </w:tcPr>
          <w:p>
            <w:pPr>
              <w:spacing w:before="0" w:after="0" w:line="276" w:lineRule="auto"/>
            </w:pPr>
            <w:r>
              <w:rPr>
                <w:rFonts w:ascii="Calibri" w:hAnsi="Calibri" w:eastAsia="Calibri"/>
                <w:b w:val="0"/>
                <w:color w:val="1F2937"/>
                <w:sz w:val="19"/>
              </w:rPr>
              <w:t>Open / mostly confirmed</w:t>
            </w:r>
          </w:p>
        </w:tc>
        <w:tc>
          <w:tcPr>
            <w:tcW w:type="dxa" w:w="2280"/>
          </w:tcPr>
          <w:p>
            <w:pPr>
              <w:spacing w:before="0" w:after="0" w:line="276" w:lineRule="auto"/>
            </w:pPr>
            <w:r>
              <w:rPr>
                <w:rFonts w:ascii="Calibri" w:hAnsi="Calibri" w:eastAsia="Calibri"/>
                <w:b w:val="0"/>
                <w:color w:val="1F2937"/>
                <w:sz w:val="19"/>
              </w:rPr>
              <w:t>NLM SBIR through PA-27-100 is the working path.</w:t>
            </w:r>
          </w:p>
        </w:tc>
        <w:tc>
          <w:tcPr>
            <w:tcW w:type="dxa" w:w="2700"/>
          </w:tcPr>
          <w:p>
            <w:pPr>
              <w:spacing w:before="0" w:after="0" w:line="276" w:lineRule="auto"/>
            </w:pPr>
            <w:r>
              <w:rPr>
                <w:rFonts w:ascii="Calibri" w:hAnsi="Calibri" w:eastAsia="Calibri"/>
                <w:b w:val="0"/>
                <w:color w:val="1F2937"/>
                <w:sz w:val="19"/>
              </w:rPr>
              <w:t>Polish one-page aims and follow up with Dr. Reddy.</w:t>
            </w:r>
          </w:p>
        </w:tc>
      </w:tr>
      <w:tr>
        <w:tc>
          <w:tcPr>
            <w:tcW w:type="dxa" w:w="2100"/>
          </w:tcPr>
          <w:p>
            <w:pPr>
              <w:spacing w:before="0" w:after="0" w:line="276" w:lineRule="auto"/>
            </w:pPr>
            <w:r>
              <w:rPr>
                <w:rFonts w:ascii="Calibri" w:hAnsi="Calibri" w:eastAsia="Calibri"/>
                <w:b/>
                <w:color w:val="1F2937"/>
                <w:sz w:val="19"/>
              </w:rPr>
              <w:t>Company setup</w:t>
            </w:r>
          </w:p>
        </w:tc>
        <w:tc>
          <w:tcPr>
            <w:tcW w:type="dxa" w:w="2280"/>
            <w:shd w:fill="FFF4D6"/>
          </w:tcPr>
          <w:p>
            <w:pPr>
              <w:spacing w:before="0" w:after="0" w:line="276" w:lineRule="auto"/>
            </w:pPr>
            <w:r>
              <w:rPr>
                <w:rFonts w:ascii="Calibri" w:hAnsi="Calibri" w:eastAsia="Calibri"/>
                <w:b w:val="0"/>
                <w:color w:val="1F2937"/>
                <w:sz w:val="19"/>
              </w:rPr>
              <w:t>Locked by cash timing</w:t>
            </w:r>
          </w:p>
        </w:tc>
        <w:tc>
          <w:tcPr>
            <w:tcW w:type="dxa" w:w="2280"/>
          </w:tcPr>
          <w:p>
            <w:pPr>
              <w:spacing w:before="0" w:after="0" w:line="276" w:lineRule="auto"/>
            </w:pPr>
            <w:r>
              <w:rPr>
                <w:rFonts w:ascii="Calibri" w:hAnsi="Calibri" w:eastAsia="Calibri"/>
                <w:b w:val="0"/>
                <w:color w:val="1F2937"/>
                <w:sz w:val="19"/>
              </w:rPr>
              <w:t>A legal company is needed before federal registrations.</w:t>
            </w:r>
          </w:p>
        </w:tc>
        <w:tc>
          <w:tcPr>
            <w:tcW w:type="dxa" w:w="2700"/>
          </w:tcPr>
          <w:p>
            <w:pPr>
              <w:spacing w:before="0" w:after="0" w:line="276" w:lineRule="auto"/>
            </w:pPr>
            <w:r>
              <w:rPr>
                <w:rFonts w:ascii="Calibri" w:hAnsi="Calibri" w:eastAsia="Calibri"/>
                <w:b w:val="0"/>
                <w:color w:val="1F2937"/>
                <w:sz w:val="19"/>
              </w:rPr>
              <w:t>Choose name, use free guidance, then form Texas LLC when safe.</w:t>
            </w:r>
          </w:p>
        </w:tc>
      </w:tr>
      <w:tr>
        <w:tc>
          <w:tcPr>
            <w:tcW w:type="dxa" w:w="2100"/>
          </w:tcPr>
          <w:p>
            <w:pPr>
              <w:spacing w:before="0" w:after="0" w:line="276" w:lineRule="auto"/>
            </w:pPr>
            <w:r>
              <w:rPr>
                <w:rFonts w:ascii="Calibri" w:hAnsi="Calibri" w:eastAsia="Calibri"/>
                <w:b/>
                <w:color w:val="1F2937"/>
                <w:sz w:val="19"/>
              </w:rPr>
              <w:t>Research plan</w:t>
            </w:r>
          </w:p>
        </w:tc>
        <w:tc>
          <w:tcPr>
            <w:tcW w:type="dxa" w:w="2280"/>
            <w:shd w:fill="EAF5EF"/>
          </w:tcPr>
          <w:p>
            <w:pPr>
              <w:spacing w:before="0" w:after="0" w:line="276" w:lineRule="auto"/>
            </w:pPr>
            <w:r>
              <w:rPr>
                <w:rFonts w:ascii="Calibri" w:hAnsi="Calibri" w:eastAsia="Calibri"/>
                <w:b w:val="0"/>
                <w:color w:val="1F2937"/>
                <w:sz w:val="19"/>
              </w:rPr>
              <w:t>Open now</w:t>
            </w:r>
          </w:p>
        </w:tc>
        <w:tc>
          <w:tcPr>
            <w:tcW w:type="dxa" w:w="2280"/>
          </w:tcPr>
          <w:p>
            <w:pPr>
              <w:spacing w:before="0" w:after="0" w:line="276" w:lineRule="auto"/>
            </w:pPr>
            <w:r>
              <w:rPr>
                <w:rFonts w:ascii="Calibri" w:hAnsi="Calibri" w:eastAsia="Calibri"/>
                <w:b w:val="0"/>
                <w:color w:val="1F2937"/>
                <w:sz w:val="19"/>
              </w:rPr>
              <w:t>We can keep drafting and sharpening the application before the LLC exists.</w:t>
            </w:r>
          </w:p>
        </w:tc>
        <w:tc>
          <w:tcPr>
            <w:tcW w:type="dxa" w:w="2700"/>
          </w:tcPr>
          <w:p>
            <w:pPr>
              <w:spacing w:before="0" w:after="0" w:line="276" w:lineRule="auto"/>
            </w:pPr>
            <w:r>
              <w:rPr>
                <w:rFonts w:ascii="Calibri" w:hAnsi="Calibri" w:eastAsia="Calibri"/>
                <w:b w:val="0"/>
                <w:color w:val="1F2937"/>
                <w:sz w:val="19"/>
              </w:rPr>
              <w:t>Specific Aims, Research Strategy, study protocol.</w:t>
            </w:r>
          </w:p>
        </w:tc>
      </w:tr>
      <w:tr>
        <w:tc>
          <w:tcPr>
            <w:tcW w:type="dxa" w:w="2100"/>
          </w:tcPr>
          <w:p>
            <w:pPr>
              <w:spacing w:before="0" w:after="0" w:line="276" w:lineRule="auto"/>
            </w:pPr>
            <w:r>
              <w:rPr>
                <w:rFonts w:ascii="Calibri" w:hAnsi="Calibri" w:eastAsia="Calibri"/>
                <w:b/>
                <w:color w:val="1F2937"/>
                <w:sz w:val="19"/>
              </w:rPr>
              <w:t>Prototype</w:t>
            </w:r>
          </w:p>
        </w:tc>
        <w:tc>
          <w:tcPr>
            <w:tcW w:type="dxa" w:w="2280"/>
            <w:shd w:fill="EAF5EF"/>
          </w:tcPr>
          <w:p>
            <w:pPr>
              <w:spacing w:before="0" w:after="0" w:line="276" w:lineRule="auto"/>
            </w:pPr>
            <w:r>
              <w:rPr>
                <w:rFonts w:ascii="Calibri" w:hAnsi="Calibri" w:eastAsia="Calibri"/>
                <w:b w:val="0"/>
                <w:color w:val="1F2937"/>
                <w:sz w:val="19"/>
              </w:rPr>
              <w:t>Open now</w:t>
            </w:r>
          </w:p>
        </w:tc>
        <w:tc>
          <w:tcPr>
            <w:tcW w:type="dxa" w:w="2280"/>
          </w:tcPr>
          <w:p>
            <w:pPr>
              <w:spacing w:before="0" w:after="0" w:line="276" w:lineRule="auto"/>
            </w:pPr>
            <w:r>
              <w:rPr>
                <w:rFonts w:ascii="Calibri" w:hAnsi="Calibri" w:eastAsia="Calibri"/>
                <w:b w:val="0"/>
                <w:color w:val="1F2937"/>
                <w:sz w:val="19"/>
              </w:rPr>
              <w:t>App work can continue using demo/synthetic data.</w:t>
            </w:r>
          </w:p>
        </w:tc>
        <w:tc>
          <w:tcPr>
            <w:tcW w:type="dxa" w:w="2700"/>
          </w:tcPr>
          <w:p>
            <w:pPr>
              <w:spacing w:before="0" w:after="0" w:line="276" w:lineRule="auto"/>
            </w:pPr>
            <w:r>
              <w:rPr>
                <w:rFonts w:ascii="Calibri" w:hAnsi="Calibri" w:eastAsia="Calibri"/>
                <w:b w:val="0"/>
                <w:color w:val="1F2937"/>
                <w:sz w:val="19"/>
              </w:rPr>
              <w:t>Provider request, patient approval, JSON package, provenance, audit trail.</w:t>
            </w:r>
          </w:p>
        </w:tc>
      </w:tr>
      <w:tr>
        <w:tc>
          <w:tcPr>
            <w:tcW w:type="dxa" w:w="2100"/>
          </w:tcPr>
          <w:p>
            <w:pPr>
              <w:spacing w:before="0" w:after="0" w:line="276" w:lineRule="auto"/>
            </w:pPr>
            <w:r>
              <w:rPr>
                <w:rFonts w:ascii="Calibri" w:hAnsi="Calibri" w:eastAsia="Calibri"/>
                <w:b/>
                <w:color w:val="1F2937"/>
                <w:sz w:val="19"/>
              </w:rPr>
              <w:t>Submission</w:t>
            </w:r>
          </w:p>
        </w:tc>
        <w:tc>
          <w:tcPr>
            <w:tcW w:type="dxa" w:w="2280"/>
            <w:shd w:fill="FFF4D6"/>
          </w:tcPr>
          <w:p>
            <w:pPr>
              <w:spacing w:before="0" w:after="0" w:line="276" w:lineRule="auto"/>
            </w:pPr>
            <w:r>
              <w:rPr>
                <w:rFonts w:ascii="Calibri" w:hAnsi="Calibri" w:eastAsia="Calibri"/>
                <w:b w:val="0"/>
                <w:color w:val="1F2937"/>
                <w:sz w:val="19"/>
              </w:rPr>
              <w:t>Locked</w:t>
            </w:r>
          </w:p>
        </w:tc>
        <w:tc>
          <w:tcPr>
            <w:tcW w:type="dxa" w:w="2280"/>
          </w:tcPr>
          <w:p>
            <w:pPr>
              <w:spacing w:before="0" w:after="0" w:line="276" w:lineRule="auto"/>
            </w:pPr>
            <w:r>
              <w:rPr>
                <w:rFonts w:ascii="Calibri" w:hAnsi="Calibri" w:eastAsia="Calibri"/>
                <w:b w:val="0"/>
                <w:color w:val="1F2937"/>
                <w:sz w:val="19"/>
              </w:rPr>
              <w:t>Cannot submit until registrations and application package are complete.</w:t>
            </w:r>
          </w:p>
        </w:tc>
        <w:tc>
          <w:tcPr>
            <w:tcW w:type="dxa" w:w="2700"/>
          </w:tcPr>
          <w:p>
            <w:pPr>
              <w:spacing w:before="0" w:after="0" w:line="276" w:lineRule="auto"/>
            </w:pPr>
            <w:r>
              <w:rPr>
                <w:rFonts w:ascii="Calibri" w:hAnsi="Calibri" w:eastAsia="Calibri"/>
                <w:b w:val="0"/>
                <w:color w:val="1F2937"/>
                <w:sz w:val="19"/>
              </w:rPr>
              <w:t>SAM/UEI, eRA, Grants.gov, SBA, final PDFs.</w:t>
            </w:r>
          </w:p>
        </w:tc>
      </w:tr>
    </w:tbl>
    <w:p>
      <w:pPr>
        <w:spacing w:before="360" w:after="200" w:line="300" w:lineRule="auto"/>
      </w:pPr>
      <w:r>
        <w:rPr>
          <w:rFonts w:ascii="Calibri" w:hAnsi="Calibri" w:eastAsia="Calibri"/>
          <w:b/>
          <w:color w:val="2E74B5"/>
          <w:sz w:val="32"/>
        </w:rPr>
        <w:t>Dependency Map</w:t>
      </w:r>
    </w:p>
    <w:p>
      <w:pPr>
        <w:spacing w:before="0" w:after="120" w:line="300" w:lineRule="auto"/>
      </w:pPr>
      <w:r>
        <w:rPr>
          <w:rFonts w:ascii="Calibri" w:hAnsi="Calibri" w:eastAsia="Calibri"/>
          <w:b w:val="0"/>
          <w:color w:val="1F2937"/>
        </w:rPr>
        <w:t>Read this section like a dashboard: green areas can move now, gold areas need a real-world decision or outside person, and red areas are locked until late-cycle submission work.</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AF5EF"/>
          </w:tcPr>
          <w:p>
            <w:pPr>
              <w:spacing w:before="0" w:after="40" w:line="276" w:lineRule="auto"/>
            </w:pPr>
            <w:r>
              <w:rPr>
                <w:rFonts w:ascii="Calibri" w:hAnsi="Calibri" w:eastAsia="Calibri"/>
                <w:b/>
                <w:color w:val="0B2545"/>
                <w:sz w:val="22"/>
              </w:rPr>
              <w:t>1. Funding Path</w:t>
            </w:r>
          </w:p>
          <w:p>
            <w:pPr>
              <w:spacing w:before="0" w:after="60" w:line="276" w:lineRule="auto"/>
            </w:pPr>
            <w:r>
              <w:rPr>
                <w:rFonts w:ascii="Calibri" w:hAnsi="Calibri" w:eastAsia="Calibri"/>
                <w:b/>
                <w:color w:val="5B677A"/>
                <w:sz w:val="19"/>
              </w:rPr>
              <w:t>Mostly open now</w:t>
            </w:r>
          </w:p>
          <w:p>
            <w:pPr>
              <w:pStyle w:val="ListBullet"/>
              <w:spacing w:before="0" w:after="20" w:line="264" w:lineRule="auto"/>
            </w:pPr>
            <w:r>
              <w:rPr>
                <w:rFonts w:ascii="Calibri" w:hAnsi="Calibri" w:eastAsia="Calibri"/>
                <w:b w:val="0"/>
                <w:color w:val="1F2937"/>
                <w:sz w:val="18"/>
              </w:rPr>
              <w:t>NLM fit confirmed by Dr. Reddy</w:t>
            </w:r>
          </w:p>
          <w:p>
            <w:pPr>
              <w:pStyle w:val="ListBullet"/>
              <w:spacing w:before="0" w:after="20" w:line="264" w:lineRule="auto"/>
            </w:pPr>
            <w:r>
              <w:rPr>
                <w:rFonts w:ascii="Calibri" w:hAnsi="Calibri" w:eastAsia="Calibri"/>
                <w:b w:val="0"/>
                <w:color w:val="1F2937"/>
                <w:sz w:val="18"/>
              </w:rPr>
              <w:t>PA-27-100 selected as working NOFO</w:t>
            </w:r>
          </w:p>
          <w:p>
            <w:pPr>
              <w:pStyle w:val="ListBullet"/>
              <w:spacing w:before="0" w:after="20" w:line="264" w:lineRule="auto"/>
            </w:pPr>
            <w:r>
              <w:rPr>
                <w:rFonts w:ascii="Calibri" w:hAnsi="Calibri" w:eastAsia="Calibri"/>
                <w:b w:val="0"/>
                <w:color w:val="1F2937"/>
                <w:sz w:val="18"/>
              </w:rPr>
              <w:t>Specific Aims must be polished</w:t>
            </w:r>
          </w:p>
          <w:p>
            <w:pPr>
              <w:pStyle w:val="ListBullet"/>
              <w:spacing w:before="0" w:after="20" w:line="264" w:lineRule="auto"/>
            </w:pPr>
            <w:r>
              <w:rPr>
                <w:rFonts w:ascii="Calibri" w:hAnsi="Calibri" w:eastAsia="Calibri"/>
                <w:b w:val="0"/>
                <w:color w:val="1F2937"/>
                <w:sz w:val="18"/>
              </w:rPr>
              <w:t>Follow-up packet should go to NLM</w:t>
            </w:r>
          </w:p>
        </w:tc>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FFF4D6"/>
          </w:tcPr>
          <w:p>
            <w:pPr>
              <w:spacing w:before="0" w:after="40" w:line="276" w:lineRule="auto"/>
            </w:pPr>
            <w:r>
              <w:rPr>
                <w:rFonts w:ascii="Calibri" w:hAnsi="Calibri" w:eastAsia="Calibri"/>
                <w:b/>
                <w:color w:val="0B2545"/>
                <w:sz w:val="22"/>
              </w:rPr>
              <w:t>2. Company + Registrations</w:t>
            </w:r>
          </w:p>
          <w:p>
            <w:pPr>
              <w:spacing w:before="0" w:after="60" w:line="276" w:lineRule="auto"/>
            </w:pPr>
            <w:r>
              <w:rPr>
                <w:rFonts w:ascii="Calibri" w:hAnsi="Calibri" w:eastAsia="Calibri"/>
                <w:b/>
                <w:color w:val="5B677A"/>
                <w:sz w:val="19"/>
              </w:rPr>
              <w:t>Locked behind LLC</w:t>
            </w:r>
          </w:p>
          <w:p>
            <w:pPr>
              <w:pStyle w:val="ListBullet"/>
              <w:spacing w:before="0" w:after="20" w:line="264" w:lineRule="auto"/>
            </w:pPr>
            <w:r>
              <w:rPr>
                <w:rFonts w:ascii="Calibri" w:hAnsi="Calibri" w:eastAsia="Calibri"/>
                <w:b w:val="0"/>
                <w:color w:val="1F2937"/>
                <w:sz w:val="18"/>
              </w:rPr>
              <w:t>Choose legal name</w:t>
            </w:r>
          </w:p>
          <w:p>
            <w:pPr>
              <w:pStyle w:val="ListBullet"/>
              <w:spacing w:before="0" w:after="20" w:line="264" w:lineRule="auto"/>
            </w:pPr>
            <w:r>
              <w:rPr>
                <w:rFonts w:ascii="Calibri" w:hAnsi="Calibri" w:eastAsia="Calibri"/>
                <w:b w:val="0"/>
                <w:color w:val="1F2937"/>
                <w:sz w:val="18"/>
              </w:rPr>
              <w:t>Form Texas LLC</w:t>
            </w:r>
          </w:p>
          <w:p>
            <w:pPr>
              <w:pStyle w:val="ListBullet"/>
              <w:spacing w:before="0" w:after="20" w:line="264" w:lineRule="auto"/>
            </w:pPr>
            <w:r>
              <w:rPr>
                <w:rFonts w:ascii="Calibri" w:hAnsi="Calibri" w:eastAsia="Calibri"/>
                <w:b w:val="0"/>
                <w:color w:val="1F2937"/>
                <w:sz w:val="18"/>
              </w:rPr>
              <w:t>Get EIN</w:t>
            </w:r>
          </w:p>
          <w:p>
            <w:pPr>
              <w:pStyle w:val="ListBullet"/>
              <w:spacing w:before="0" w:after="20" w:line="264" w:lineRule="auto"/>
            </w:pPr>
            <w:r>
              <w:rPr>
                <w:rFonts w:ascii="Calibri" w:hAnsi="Calibri" w:eastAsia="Calibri"/>
                <w:b w:val="0"/>
                <w:color w:val="1F2937"/>
                <w:sz w:val="18"/>
              </w:rPr>
              <w:t>SAM.gov/UEI</w:t>
            </w:r>
          </w:p>
          <w:p>
            <w:pPr>
              <w:pStyle w:val="ListBullet"/>
              <w:spacing w:before="0" w:after="20" w:line="264" w:lineRule="auto"/>
            </w:pPr>
            <w:r>
              <w:rPr>
                <w:rFonts w:ascii="Calibri" w:hAnsi="Calibri" w:eastAsia="Calibri"/>
                <w:b w:val="0"/>
                <w:color w:val="1F2937"/>
                <w:sz w:val="18"/>
              </w:rPr>
              <w:t>eRA Commons, Grants.gov, SBA Registry</w:t>
            </w:r>
          </w:p>
        </w:tc>
      </w:tr>
      <w:tr>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AF5EF"/>
          </w:tcPr>
          <w:p>
            <w:pPr>
              <w:spacing w:before="0" w:after="40" w:line="276" w:lineRule="auto"/>
            </w:pPr>
            <w:r>
              <w:rPr>
                <w:rFonts w:ascii="Calibri" w:hAnsi="Calibri" w:eastAsia="Calibri"/>
                <w:b/>
                <w:color w:val="0B2545"/>
                <w:sz w:val="22"/>
              </w:rPr>
              <w:t>3. Research Plan</w:t>
            </w:r>
          </w:p>
          <w:p>
            <w:pPr>
              <w:spacing w:before="0" w:after="60" w:line="276" w:lineRule="auto"/>
            </w:pPr>
            <w:r>
              <w:rPr>
                <w:rFonts w:ascii="Calibri" w:hAnsi="Calibri" w:eastAsia="Calibri"/>
                <w:b/>
                <w:color w:val="5B677A"/>
                <w:sz w:val="19"/>
              </w:rPr>
              <w:t>Open now</w:t>
            </w:r>
          </w:p>
          <w:p>
            <w:pPr>
              <w:pStyle w:val="ListBullet"/>
              <w:spacing w:before="0" w:after="20" w:line="264" w:lineRule="auto"/>
            </w:pPr>
            <w:r>
              <w:rPr>
                <w:rFonts w:ascii="Calibri" w:hAnsi="Calibri" w:eastAsia="Calibri"/>
                <w:b w:val="0"/>
                <w:color w:val="1F2937"/>
                <w:sz w:val="18"/>
              </w:rPr>
              <w:t>One-page Specific Aims</w:t>
            </w:r>
          </w:p>
          <w:p>
            <w:pPr>
              <w:pStyle w:val="ListBullet"/>
              <w:spacing w:before="0" w:after="20" w:line="264" w:lineRule="auto"/>
            </w:pPr>
            <w:r>
              <w:rPr>
                <w:rFonts w:ascii="Calibri" w:hAnsi="Calibri" w:eastAsia="Calibri"/>
                <w:b w:val="0"/>
                <w:color w:val="1F2937"/>
                <w:sz w:val="18"/>
              </w:rPr>
              <w:t>Research Strategy outline</w:t>
            </w:r>
          </w:p>
          <w:p>
            <w:pPr>
              <w:pStyle w:val="ListBullet"/>
              <w:spacing w:before="0" w:after="20" w:line="264" w:lineRule="auto"/>
            </w:pPr>
            <w:r>
              <w:rPr>
                <w:rFonts w:ascii="Calibri" w:hAnsi="Calibri" w:eastAsia="Calibri"/>
                <w:b w:val="0"/>
                <w:color w:val="1F2937"/>
                <w:sz w:val="18"/>
              </w:rPr>
              <w:t>FHIR/ClearPath JSON positioning</w:t>
            </w:r>
          </w:p>
          <w:p>
            <w:pPr>
              <w:pStyle w:val="ListBullet"/>
              <w:spacing w:before="0" w:after="20" w:line="264" w:lineRule="auto"/>
            </w:pPr>
            <w:r>
              <w:rPr>
                <w:rFonts w:ascii="Calibri" w:hAnsi="Calibri" w:eastAsia="Calibri"/>
                <w:b w:val="0"/>
                <w:color w:val="1F2937"/>
                <w:sz w:val="18"/>
              </w:rPr>
              <w:t>IRB/human-subjects pathway</w:t>
            </w:r>
          </w:p>
          <w:p>
            <w:pPr>
              <w:pStyle w:val="ListBullet"/>
              <w:spacing w:before="0" w:after="20" w:line="264" w:lineRule="auto"/>
            </w:pPr>
            <w:r>
              <w:rPr>
                <w:rFonts w:ascii="Calibri" w:hAnsi="Calibri" w:eastAsia="Calibri"/>
                <w:b w:val="0"/>
                <w:color w:val="1F2937"/>
                <w:sz w:val="18"/>
              </w:rPr>
              <w:t>Milestones and go/no-go criteria</w:t>
            </w:r>
          </w:p>
        </w:tc>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FFF4D6"/>
          </w:tcPr>
          <w:p>
            <w:pPr>
              <w:spacing w:before="0" w:after="40" w:line="276" w:lineRule="auto"/>
            </w:pPr>
            <w:r>
              <w:rPr>
                <w:rFonts w:ascii="Calibri" w:hAnsi="Calibri" w:eastAsia="Calibri"/>
                <w:b/>
                <w:color w:val="0B2545"/>
                <w:sz w:val="22"/>
              </w:rPr>
              <w:t>4. Team + Advisors</w:t>
            </w:r>
          </w:p>
          <w:p>
            <w:pPr>
              <w:spacing w:before="0" w:after="60" w:line="276" w:lineRule="auto"/>
            </w:pPr>
            <w:r>
              <w:rPr>
                <w:rFonts w:ascii="Calibri" w:hAnsi="Calibri" w:eastAsia="Calibri"/>
                <w:b/>
                <w:color w:val="5B677A"/>
                <w:sz w:val="19"/>
              </w:rPr>
              <w:t>Partly locked</w:t>
            </w:r>
          </w:p>
          <w:p>
            <w:pPr>
              <w:pStyle w:val="ListBullet"/>
              <w:spacing w:before="0" w:after="20" w:line="264" w:lineRule="auto"/>
            </w:pPr>
            <w:r>
              <w:rPr>
                <w:rFonts w:ascii="Calibri" w:hAnsi="Calibri" w:eastAsia="Calibri"/>
                <w:b w:val="0"/>
                <w:color w:val="1F2937"/>
                <w:sz w:val="18"/>
              </w:rPr>
              <w:t>Founder/PI decision</w:t>
            </w:r>
          </w:p>
          <w:p>
            <w:pPr>
              <w:pStyle w:val="ListBullet"/>
              <w:spacing w:before="0" w:after="20" w:line="264" w:lineRule="auto"/>
            </w:pPr>
            <w:r>
              <w:rPr>
                <w:rFonts w:ascii="Calibri" w:hAnsi="Calibri" w:eastAsia="Calibri"/>
                <w:b w:val="0"/>
                <w:color w:val="1F2937"/>
                <w:sz w:val="18"/>
              </w:rPr>
              <w:t>Technical lead plan</w:t>
            </w:r>
          </w:p>
          <w:p>
            <w:pPr>
              <w:pStyle w:val="ListBullet"/>
              <w:spacing w:before="0" w:after="20" w:line="264" w:lineRule="auto"/>
            </w:pPr>
            <w:r>
              <w:rPr>
                <w:rFonts w:ascii="Calibri" w:hAnsi="Calibri" w:eastAsia="Calibri"/>
                <w:b w:val="0"/>
                <w:color w:val="1F2937"/>
                <w:sz w:val="18"/>
              </w:rPr>
              <w:t>Clinical workflow advisor</w:t>
            </w:r>
          </w:p>
          <w:p>
            <w:pPr>
              <w:pStyle w:val="ListBullet"/>
              <w:spacing w:before="0" w:after="20" w:line="264" w:lineRule="auto"/>
            </w:pPr>
            <w:r>
              <w:rPr>
                <w:rFonts w:ascii="Calibri" w:hAnsi="Calibri" w:eastAsia="Calibri"/>
                <w:b w:val="0"/>
                <w:color w:val="1F2937"/>
                <w:sz w:val="18"/>
              </w:rPr>
              <w:t>FHIR/informatics advisor</w:t>
            </w:r>
          </w:p>
          <w:p>
            <w:pPr>
              <w:pStyle w:val="ListBullet"/>
              <w:spacing w:before="0" w:after="20" w:line="264" w:lineRule="auto"/>
            </w:pPr>
            <w:r>
              <w:rPr>
                <w:rFonts w:ascii="Calibri" w:hAnsi="Calibri" w:eastAsia="Calibri"/>
                <w:b w:val="0"/>
                <w:color w:val="1F2937"/>
                <w:sz w:val="18"/>
              </w:rPr>
              <w:t>Letters of support</w:t>
            </w:r>
          </w:p>
        </w:tc>
      </w:tr>
      <w:tr>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AF5EF"/>
          </w:tcPr>
          <w:p>
            <w:pPr>
              <w:spacing w:before="0" w:after="40" w:line="276" w:lineRule="auto"/>
            </w:pPr>
            <w:r>
              <w:rPr>
                <w:rFonts w:ascii="Calibri" w:hAnsi="Calibri" w:eastAsia="Calibri"/>
                <w:b/>
                <w:color w:val="0B2545"/>
                <w:sz w:val="22"/>
              </w:rPr>
              <w:t>5. Prototype Evidence</w:t>
            </w:r>
          </w:p>
          <w:p>
            <w:pPr>
              <w:spacing w:before="0" w:after="60" w:line="276" w:lineRule="auto"/>
            </w:pPr>
            <w:r>
              <w:rPr>
                <w:rFonts w:ascii="Calibri" w:hAnsi="Calibri" w:eastAsia="Calibri"/>
                <w:b/>
                <w:color w:val="5B677A"/>
                <w:sz w:val="19"/>
              </w:rPr>
              <w:t>Open now</w:t>
            </w:r>
          </w:p>
          <w:p>
            <w:pPr>
              <w:pStyle w:val="ListBullet"/>
              <w:spacing w:before="0" w:after="20" w:line="264" w:lineRule="auto"/>
            </w:pPr>
            <w:r>
              <w:rPr>
                <w:rFonts w:ascii="Calibri" w:hAnsi="Calibri" w:eastAsia="Calibri"/>
                <w:b w:val="0"/>
                <w:color w:val="1F2937"/>
                <w:sz w:val="18"/>
              </w:rPr>
              <w:t>Provider request workflow</w:t>
            </w:r>
          </w:p>
          <w:p>
            <w:pPr>
              <w:pStyle w:val="ListBullet"/>
              <w:spacing w:before="0" w:after="20" w:line="264" w:lineRule="auto"/>
            </w:pPr>
            <w:r>
              <w:rPr>
                <w:rFonts w:ascii="Calibri" w:hAnsi="Calibri" w:eastAsia="Calibri"/>
                <w:b w:val="0"/>
                <w:color w:val="1F2937"/>
                <w:sz w:val="18"/>
              </w:rPr>
              <w:t>Patient approve/limit/deny workflow</w:t>
            </w:r>
          </w:p>
          <w:p>
            <w:pPr>
              <w:pStyle w:val="ListBullet"/>
              <w:spacing w:before="0" w:after="20" w:line="264" w:lineRule="auto"/>
            </w:pPr>
            <w:r>
              <w:rPr>
                <w:rFonts w:ascii="Calibri" w:hAnsi="Calibri" w:eastAsia="Calibri"/>
                <w:b w:val="0"/>
                <w:color w:val="1F2937"/>
                <w:sz w:val="18"/>
              </w:rPr>
              <w:t>Consent-scoped JSON package</w:t>
            </w:r>
          </w:p>
          <w:p>
            <w:pPr>
              <w:pStyle w:val="ListBullet"/>
              <w:spacing w:before="0" w:after="20" w:line="264" w:lineRule="auto"/>
            </w:pPr>
            <w:r>
              <w:rPr>
                <w:rFonts w:ascii="Calibri" w:hAnsi="Calibri" w:eastAsia="Calibri"/>
                <w:b w:val="0"/>
                <w:color w:val="1F2937"/>
                <w:sz w:val="18"/>
              </w:rPr>
              <w:t>Provenance/source labels</w:t>
            </w:r>
          </w:p>
          <w:p>
            <w:pPr>
              <w:pStyle w:val="ListBullet"/>
              <w:spacing w:before="0" w:after="20" w:line="264" w:lineRule="auto"/>
            </w:pPr>
            <w:r>
              <w:rPr>
                <w:rFonts w:ascii="Calibri" w:hAnsi="Calibri" w:eastAsia="Calibri"/>
                <w:b w:val="0"/>
                <w:color w:val="1F2937"/>
                <w:sz w:val="18"/>
              </w:rPr>
              <w:t>Audit trail and synthetic tests</w:t>
            </w:r>
          </w:p>
        </w:tc>
        <w:tc>
          <w:tcPr>
            <w:tcW w:type="dxa" w:w="468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FCE8E8"/>
          </w:tcPr>
          <w:p>
            <w:pPr>
              <w:spacing w:before="0" w:after="40" w:line="276" w:lineRule="auto"/>
            </w:pPr>
            <w:r>
              <w:rPr>
                <w:rFonts w:ascii="Calibri" w:hAnsi="Calibri" w:eastAsia="Calibri"/>
                <w:b/>
                <w:color w:val="0B2545"/>
                <w:sz w:val="22"/>
              </w:rPr>
              <w:t>6. Final Submission</w:t>
            </w:r>
          </w:p>
          <w:p>
            <w:pPr>
              <w:spacing w:before="0" w:after="60" w:line="276" w:lineRule="auto"/>
            </w:pPr>
            <w:r>
              <w:rPr>
                <w:rFonts w:ascii="Calibri" w:hAnsi="Calibri" w:eastAsia="Calibri"/>
                <w:b/>
                <w:color w:val="5B677A"/>
                <w:sz w:val="19"/>
              </w:rPr>
              <w:t>Locked until late cycle</w:t>
            </w:r>
          </w:p>
          <w:p>
            <w:pPr>
              <w:pStyle w:val="ListBullet"/>
              <w:spacing w:before="0" w:after="20" w:line="264" w:lineRule="auto"/>
            </w:pPr>
            <w:r>
              <w:rPr>
                <w:rFonts w:ascii="Calibri" w:hAnsi="Calibri" w:eastAsia="Calibri"/>
                <w:b w:val="0"/>
                <w:color w:val="1F2937"/>
                <w:sz w:val="18"/>
              </w:rPr>
              <w:t>NOFO compliance matrix</w:t>
            </w:r>
          </w:p>
          <w:p>
            <w:pPr>
              <w:pStyle w:val="ListBullet"/>
              <w:spacing w:before="0" w:after="20" w:line="264" w:lineRule="auto"/>
            </w:pPr>
            <w:r>
              <w:rPr>
                <w:rFonts w:ascii="Calibri" w:hAnsi="Calibri" w:eastAsia="Calibri"/>
                <w:b w:val="0"/>
                <w:color w:val="1F2937"/>
                <w:sz w:val="18"/>
              </w:rPr>
              <w:t>All attachments drafted</w:t>
            </w:r>
          </w:p>
          <w:p>
            <w:pPr>
              <w:pStyle w:val="ListBullet"/>
              <w:spacing w:before="0" w:after="20" w:line="264" w:lineRule="auto"/>
            </w:pPr>
            <w:r>
              <w:rPr>
                <w:rFonts w:ascii="Calibri" w:hAnsi="Calibri" w:eastAsia="Calibri"/>
                <w:b w:val="0"/>
                <w:color w:val="1F2937"/>
                <w:sz w:val="18"/>
              </w:rPr>
              <w:t>Budget complete</w:t>
            </w:r>
          </w:p>
          <w:p>
            <w:pPr>
              <w:pStyle w:val="ListBullet"/>
              <w:spacing w:before="0" w:after="20" w:line="264" w:lineRule="auto"/>
            </w:pPr>
            <w:r>
              <w:rPr>
                <w:rFonts w:ascii="Calibri" w:hAnsi="Calibri" w:eastAsia="Calibri"/>
                <w:b w:val="0"/>
                <w:color w:val="1F2937"/>
                <w:sz w:val="18"/>
              </w:rPr>
              <w:t>Portal validation</w:t>
            </w:r>
          </w:p>
          <w:p>
            <w:pPr>
              <w:pStyle w:val="ListBullet"/>
              <w:spacing w:before="0" w:after="20" w:line="264" w:lineRule="auto"/>
            </w:pPr>
            <w:r>
              <w:rPr>
                <w:rFonts w:ascii="Calibri" w:hAnsi="Calibri" w:eastAsia="Calibri"/>
                <w:b w:val="0"/>
                <w:color w:val="1F2937"/>
                <w:sz w:val="18"/>
              </w:rPr>
              <w:t>Submit before January 5, 2027</w:t>
            </w:r>
          </w:p>
        </w:tc>
      </w:tr>
    </w:tbl>
    <w:p>
      <w:pPr>
        <w:spacing w:before="280" w:after="140" w:line="300" w:lineRule="auto"/>
      </w:pPr>
      <w:r>
        <w:rPr>
          <w:rFonts w:ascii="Calibri" w:hAnsi="Calibri" w:eastAsia="Calibri"/>
          <w:b/>
          <w:color w:val="2E74B5"/>
          <w:sz w:val="26"/>
        </w:rPr>
        <w:t>Open Now: Work We Can Do Before Spending LLC Money</w:t>
      </w:r>
    </w:p>
    <w:p>
      <w:pPr>
        <w:spacing w:before="0" w:after="120" w:line="300" w:lineRule="auto"/>
      </w:pPr>
      <w:r>
        <w:rPr>
          <w:rFonts w:ascii="Calibri" w:hAnsi="Calibri" w:eastAsia="Calibri"/>
          <w:b w:val="0"/>
          <w:color w:val="1F2937"/>
        </w:rPr>
        <w:t>These tasks are useful immediately and do not require the company to exist yet.</w:t>
      </w:r>
    </w:p>
    <w:tbl>
      <w:tblPr>
        <w:tblW w:type="dxa" w:w="9360"/>
        <w:jc w:val="left"/>
        <w:tblLayout w:type="fixed"/>
        <w:tblLook w:firstColumn="1" w:firstRow="1" w:lastColumn="0" w:lastRow="0" w:noHBand="0" w:noVBand="1" w:val="04A0"/>
        <w:tblInd w:w="120" w:type="dxa"/>
      </w:tblPr>
      <w:tblGrid>
        <w:gridCol w:w="800"/>
        <w:gridCol w:w="2660"/>
        <w:gridCol w:w="5900"/>
      </w:tblGrid>
      <w:tr>
        <w:tc>
          <w:tcPr>
            <w:tcW w:type="dxa" w:w="8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Done</w:t>
            </w:r>
          </w:p>
        </w:tc>
        <w:tc>
          <w:tcPr>
            <w:tcW w:type="dxa" w:w="26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 Group</w:t>
            </w:r>
          </w:p>
        </w:tc>
        <w:tc>
          <w:tcPr>
            <w:tcW w:type="dxa" w:w="59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Tasks</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Grant Strategy</w:t>
            </w:r>
          </w:p>
        </w:tc>
        <w:tc>
          <w:tcPr>
            <w:tcW w:type="dxa" w:w="5900"/>
          </w:tcPr>
          <w:p>
            <w:pPr>
              <w:spacing w:before="0" w:after="0" w:line="276" w:lineRule="auto"/>
            </w:pPr>
            <w:r>
              <w:rPr>
                <w:rFonts w:ascii="Calibri" w:hAnsi="Calibri" w:eastAsia="Calibri"/>
                <w:b w:val="0"/>
                <w:color w:val="1F2937"/>
                <w:sz w:val="18"/>
              </w:rPr>
              <w:t>Polish Specific Aims V1 into a one-page draft; Build Dr. Reddy follow-up packet; Decide whether to ask about SBIR vs STTR</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Application Writing</w:t>
            </w:r>
          </w:p>
        </w:tc>
        <w:tc>
          <w:tcPr>
            <w:tcW w:type="dxa" w:w="5900"/>
          </w:tcPr>
          <w:p>
            <w:pPr>
              <w:spacing w:before="0" w:after="0" w:line="276" w:lineRule="auto"/>
            </w:pPr>
            <w:r>
              <w:rPr>
                <w:rFonts w:ascii="Calibri" w:hAnsi="Calibri" w:eastAsia="Calibri"/>
                <w:b w:val="0"/>
                <w:color w:val="1F2937"/>
                <w:sz w:val="18"/>
              </w:rPr>
              <w:t>Draft Research Strategy outline; Draft Significance, Innovation, and Approach sections; Build NOFO compliance matrix</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Research Design</w:t>
            </w:r>
          </w:p>
        </w:tc>
        <w:tc>
          <w:tcPr>
            <w:tcW w:type="dxa" w:w="5900"/>
          </w:tcPr>
          <w:p>
            <w:pPr>
              <w:spacing w:before="0" w:after="0" w:line="276" w:lineRule="auto"/>
            </w:pPr>
            <w:r>
              <w:rPr>
                <w:rFonts w:ascii="Calibri" w:hAnsi="Calibri" w:eastAsia="Calibri"/>
                <w:b w:val="0"/>
                <w:color w:val="1F2937"/>
                <w:sz w:val="18"/>
              </w:rPr>
              <w:t>Define final research question; Set success thresholds; Draft interview guides and usability protocol</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Product + Prototype</w:t>
            </w:r>
          </w:p>
        </w:tc>
        <w:tc>
          <w:tcPr>
            <w:tcW w:type="dxa" w:w="5900"/>
          </w:tcPr>
          <w:p>
            <w:pPr>
              <w:spacing w:before="0" w:after="0" w:line="276" w:lineRule="auto"/>
            </w:pPr>
            <w:r>
              <w:rPr>
                <w:rFonts w:ascii="Calibri" w:hAnsi="Calibri" w:eastAsia="Calibri"/>
                <w:b w:val="0"/>
                <w:color w:val="1F2937"/>
                <w:sz w:val="18"/>
              </w:rPr>
              <w:t>Provider request workflow; Patient approve/limit/deny workflow; Consent-scoped JSON package; Provenance labels and audit trail</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Advisor + Partner Outreach</w:t>
            </w:r>
          </w:p>
        </w:tc>
        <w:tc>
          <w:tcPr>
            <w:tcW w:type="dxa" w:w="5900"/>
          </w:tcPr>
          <w:p>
            <w:pPr>
              <w:spacing w:before="0" w:after="0" w:line="276" w:lineRule="auto"/>
            </w:pPr>
            <w:r>
              <w:rPr>
                <w:rFonts w:ascii="Calibri" w:hAnsi="Calibri" w:eastAsia="Calibri"/>
                <w:b w:val="0"/>
                <w:color w:val="1F2937"/>
                <w:sz w:val="18"/>
              </w:rPr>
              <w:t>Create advisor target lists; Draft outreach email; Draft letter-of-support template</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Company Planning</w:t>
            </w:r>
          </w:p>
        </w:tc>
        <w:tc>
          <w:tcPr>
            <w:tcW w:type="dxa" w:w="5900"/>
          </w:tcPr>
          <w:p>
            <w:pPr>
              <w:spacing w:before="0" w:after="0" w:line="276" w:lineRule="auto"/>
            </w:pPr>
            <w:r>
              <w:rPr>
                <w:rFonts w:ascii="Calibri" w:hAnsi="Calibri" w:eastAsia="Calibri"/>
                <w:b w:val="0"/>
                <w:color w:val="1F2937"/>
                <w:sz w:val="18"/>
              </w:rPr>
              <w:t>Choose working legal name; Check free SBDC/SCORE/legal-clinic support; Prepare formation briefing packet</w:t>
            </w:r>
          </w:p>
        </w:tc>
      </w:tr>
    </w:tbl>
    <w:p>
      <w:r>
        <w:br w:type="page"/>
      </w:r>
    </w:p>
    <w:p>
      <w:pPr>
        <w:spacing w:before="280" w:after="140" w:line="300" w:lineRule="auto"/>
      </w:pPr>
      <w:r>
        <w:rPr>
          <w:rFonts w:ascii="Calibri" w:hAnsi="Calibri" w:eastAsia="Calibri"/>
          <w:b/>
          <w:color w:val="2E74B5"/>
          <w:sz w:val="26"/>
        </w:rPr>
        <w:t>Locked Behind Company Formation</w:t>
      </w:r>
    </w:p>
    <w:p>
      <w:pPr>
        <w:spacing w:before="0" w:after="120" w:line="300" w:lineRule="auto"/>
      </w:pPr>
      <w:r>
        <w:rPr>
          <w:rFonts w:ascii="Calibri" w:hAnsi="Calibri" w:eastAsia="Calibri"/>
          <w:b w:val="0"/>
          <w:color w:val="1F2937"/>
        </w:rPr>
        <w:t>These wait until the company legally exists. This is why October is the practical formation target for a January submission.</w:t>
      </w:r>
    </w:p>
    <w:tbl>
      <w:tblPr>
        <w:tblW w:type="dxa" w:w="9360"/>
        <w:jc w:val="left"/>
        <w:tblLayout w:type="fixed"/>
        <w:tblLook w:firstColumn="1" w:firstRow="1" w:lastColumn="0" w:lastRow="0" w:noHBand="0" w:noVBand="1" w:val="04A0"/>
        <w:tblInd w:w="120" w:type="dxa"/>
      </w:tblPr>
      <w:tblGrid>
        <w:gridCol w:w="800"/>
        <w:gridCol w:w="2660"/>
        <w:gridCol w:w="5900"/>
      </w:tblGrid>
      <w:tr>
        <w:tc>
          <w:tcPr>
            <w:tcW w:type="dxa" w:w="8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Done</w:t>
            </w:r>
          </w:p>
        </w:tc>
        <w:tc>
          <w:tcPr>
            <w:tcW w:type="dxa" w:w="26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 Group</w:t>
            </w:r>
          </w:p>
        </w:tc>
        <w:tc>
          <w:tcPr>
            <w:tcW w:type="dxa" w:w="59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Tasks</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Legal Entity</w:t>
            </w:r>
          </w:p>
        </w:tc>
        <w:tc>
          <w:tcPr>
            <w:tcW w:type="dxa" w:w="5900"/>
          </w:tcPr>
          <w:p>
            <w:pPr>
              <w:spacing w:before="0" w:after="0" w:line="276" w:lineRule="auto"/>
            </w:pPr>
            <w:r>
              <w:rPr>
                <w:rFonts w:ascii="Calibri" w:hAnsi="Calibri" w:eastAsia="Calibri"/>
                <w:b w:val="0"/>
                <w:color w:val="1F2937"/>
                <w:sz w:val="18"/>
              </w:rPr>
              <w:t>File Texas LLC Certificate of Formation; Create operating agreement; Create company records folder</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IRS + Banking</w:t>
            </w:r>
          </w:p>
        </w:tc>
        <w:tc>
          <w:tcPr>
            <w:tcW w:type="dxa" w:w="5900"/>
          </w:tcPr>
          <w:p>
            <w:pPr>
              <w:spacing w:before="0" w:after="0" w:line="276" w:lineRule="auto"/>
            </w:pPr>
            <w:r>
              <w:rPr>
                <w:rFonts w:ascii="Calibri" w:hAnsi="Calibri" w:eastAsia="Calibri"/>
                <w:b w:val="0"/>
                <w:color w:val="1F2937"/>
                <w:sz w:val="18"/>
              </w:rPr>
              <w:t>Get EIN directly from IRS; Open business bank account; Keep business and personal funds separate</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Federal Registrations</w:t>
            </w:r>
          </w:p>
        </w:tc>
        <w:tc>
          <w:tcPr>
            <w:tcW w:type="dxa" w:w="5900"/>
          </w:tcPr>
          <w:p>
            <w:pPr>
              <w:spacing w:before="0" w:after="0" w:line="276" w:lineRule="auto"/>
            </w:pPr>
            <w:r>
              <w:rPr>
                <w:rFonts w:ascii="Calibri" w:hAnsi="Calibri" w:eastAsia="Calibri"/>
                <w:b w:val="0"/>
                <w:color w:val="1F2937"/>
                <w:sz w:val="18"/>
              </w:rPr>
              <w:t>SAM.gov and UEI; eRA Commons; Grants.gov; SBA Company Registry; Registration consistency audit</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Submission Authority</w:t>
            </w:r>
          </w:p>
        </w:tc>
        <w:tc>
          <w:tcPr>
            <w:tcW w:type="dxa" w:w="5900"/>
          </w:tcPr>
          <w:p>
            <w:pPr>
              <w:spacing w:before="0" w:after="0" w:line="276" w:lineRule="auto"/>
            </w:pPr>
            <w:r>
              <w:rPr>
                <w:rFonts w:ascii="Calibri" w:hAnsi="Calibri" w:eastAsia="Calibri"/>
                <w:b w:val="0"/>
                <w:color w:val="1F2937"/>
                <w:sz w:val="18"/>
              </w:rPr>
              <w:t>Identify AOR and Signing Official; Confirm PI account and role; Confirm PI employment requirement can be met at award</w:t>
            </w:r>
          </w:p>
        </w:tc>
      </w:tr>
    </w:tbl>
    <w:p>
      <w:r>
        <w:br w:type="page"/>
      </w:r>
    </w:p>
    <w:p>
      <w:pPr>
        <w:spacing w:before="280" w:after="140" w:line="300" w:lineRule="auto"/>
      </w:pPr>
      <w:r>
        <w:rPr>
          <w:rFonts w:ascii="Calibri" w:hAnsi="Calibri" w:eastAsia="Calibri"/>
          <w:b/>
          <w:color w:val="2E74B5"/>
          <w:sz w:val="26"/>
        </w:rPr>
        <w:t>Locked Behind Advisors Or Partners</w:t>
      </w:r>
    </w:p>
    <w:p>
      <w:pPr>
        <w:spacing w:before="0" w:after="120" w:line="300" w:lineRule="auto"/>
      </w:pPr>
      <w:r>
        <w:rPr>
          <w:rFonts w:ascii="Calibri" w:hAnsi="Calibri" w:eastAsia="Calibri"/>
          <w:b w:val="0"/>
          <w:color w:val="1F2937"/>
        </w:rPr>
        <w:t>These are not blocked by money as much as they are blocked by finding the right people and getting commitments.</w:t>
      </w:r>
    </w:p>
    <w:tbl>
      <w:tblPr>
        <w:tblW w:type="dxa" w:w="9360"/>
        <w:jc w:val="left"/>
        <w:tblLayout w:type="fixed"/>
        <w:tblLook w:firstColumn="1" w:firstRow="1" w:lastColumn="0" w:lastRow="0" w:noHBand="0" w:noVBand="1" w:val="04A0"/>
        <w:tblInd w:w="120" w:type="dxa"/>
      </w:tblPr>
      <w:tblGrid>
        <w:gridCol w:w="800"/>
        <w:gridCol w:w="2660"/>
        <w:gridCol w:w="5900"/>
      </w:tblGrid>
      <w:tr>
        <w:tc>
          <w:tcPr>
            <w:tcW w:type="dxa" w:w="8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Done</w:t>
            </w:r>
          </w:p>
        </w:tc>
        <w:tc>
          <w:tcPr>
            <w:tcW w:type="dxa" w:w="26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 Group</w:t>
            </w:r>
          </w:p>
        </w:tc>
        <w:tc>
          <w:tcPr>
            <w:tcW w:type="dxa" w:w="59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Tasks</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Research Methods</w:t>
            </w:r>
          </w:p>
        </w:tc>
        <w:tc>
          <w:tcPr>
            <w:tcW w:type="dxa" w:w="5900"/>
          </w:tcPr>
          <w:p>
            <w:pPr>
              <w:spacing w:before="0" w:after="0" w:line="276" w:lineRule="auto"/>
            </w:pPr>
            <w:r>
              <w:rPr>
                <w:rFonts w:ascii="Calibri" w:hAnsi="Calibri" w:eastAsia="Calibri"/>
                <w:b w:val="0"/>
                <w:color w:val="1F2937"/>
                <w:sz w:val="18"/>
              </w:rPr>
              <w:t>Confirm study design with human-factors or research-methods advisor</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Clinical Workflow</w:t>
            </w:r>
          </w:p>
        </w:tc>
        <w:tc>
          <w:tcPr>
            <w:tcW w:type="dxa" w:w="5900"/>
          </w:tcPr>
          <w:p>
            <w:pPr>
              <w:spacing w:before="0" w:after="0" w:line="276" w:lineRule="auto"/>
            </w:pPr>
            <w:r>
              <w:rPr>
                <w:rFonts w:ascii="Calibri" w:hAnsi="Calibri" w:eastAsia="Calibri"/>
                <w:b w:val="0"/>
                <w:color w:val="1F2937"/>
                <w:sz w:val="18"/>
              </w:rPr>
              <w:t>Validate office/provider assumptions with clinician or operations advisor</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Interoperability</w:t>
            </w:r>
          </w:p>
        </w:tc>
        <w:tc>
          <w:tcPr>
            <w:tcW w:type="dxa" w:w="5900"/>
          </w:tcPr>
          <w:p>
            <w:pPr>
              <w:spacing w:before="0" w:after="0" w:line="276" w:lineRule="auto"/>
            </w:pPr>
            <w:r>
              <w:rPr>
                <w:rFonts w:ascii="Calibri" w:hAnsi="Calibri" w:eastAsia="Calibri"/>
                <w:b w:val="0"/>
                <w:color w:val="1F2937"/>
                <w:sz w:val="18"/>
              </w:rPr>
              <w:t>Review FHIR and ClearPath JSON positioning with informatics advisor</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Privacy + Security</w:t>
            </w:r>
          </w:p>
        </w:tc>
        <w:tc>
          <w:tcPr>
            <w:tcW w:type="dxa" w:w="5900"/>
          </w:tcPr>
          <w:p>
            <w:pPr>
              <w:spacing w:before="0" w:after="0" w:line="276" w:lineRule="auto"/>
            </w:pPr>
            <w:r>
              <w:rPr>
                <w:rFonts w:ascii="Calibri" w:hAnsi="Calibri" w:eastAsia="Calibri"/>
                <w:b w:val="0"/>
                <w:color w:val="1F2937"/>
                <w:sz w:val="18"/>
              </w:rPr>
              <w:t>Review scope with privacy/security advisor or attorney</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Partners</w:t>
            </w:r>
          </w:p>
        </w:tc>
        <w:tc>
          <w:tcPr>
            <w:tcW w:type="dxa" w:w="5900"/>
          </w:tcPr>
          <w:p>
            <w:pPr>
              <w:spacing w:before="0" w:after="0" w:line="276" w:lineRule="auto"/>
            </w:pPr>
            <w:r>
              <w:rPr>
                <w:rFonts w:ascii="Calibri" w:hAnsi="Calibri" w:eastAsia="Calibri"/>
                <w:b w:val="0"/>
                <w:color w:val="1F2937"/>
                <w:sz w:val="18"/>
              </w:rPr>
              <w:t>Secure letters of support; Confirm Phase I discovery support; Confirm Phase II pilot interest</w:t>
            </w:r>
          </w:p>
        </w:tc>
      </w:tr>
    </w:tbl>
    <w:p>
      <w:pPr>
        <w:spacing w:before="280" w:after="140" w:line="300" w:lineRule="auto"/>
      </w:pPr>
      <w:r>
        <w:rPr>
          <w:rFonts w:ascii="Calibri" w:hAnsi="Calibri" w:eastAsia="Calibri"/>
          <w:b/>
          <w:color w:val="2E74B5"/>
          <w:sz w:val="26"/>
        </w:rPr>
        <w:t>Locked Behind NLM Feedback</w:t>
      </w:r>
    </w:p>
    <w:p>
      <w:pPr>
        <w:spacing w:before="0" w:after="120" w:line="300" w:lineRule="auto"/>
      </w:pPr>
      <w:r>
        <w:rPr>
          <w:rFonts w:ascii="Calibri" w:hAnsi="Calibri" w:eastAsia="Calibri"/>
          <w:b w:val="0"/>
          <w:color w:val="1F2937"/>
        </w:rPr>
        <w:t>These become much stronger after Dr. Reddy responds to the revised one-page aims.</w:t>
      </w:r>
    </w:p>
    <w:tbl>
      <w:tblPr>
        <w:tblW w:type="dxa" w:w="9360"/>
        <w:jc w:val="left"/>
        <w:tblLayout w:type="fixed"/>
        <w:tblLook w:firstColumn="1" w:firstRow="1" w:lastColumn="0" w:lastRow="0" w:noHBand="0" w:noVBand="1" w:val="04A0"/>
        <w:tblInd w:w="120" w:type="dxa"/>
      </w:tblPr>
      <w:tblGrid>
        <w:gridCol w:w="800"/>
        <w:gridCol w:w="2660"/>
        <w:gridCol w:w="5900"/>
      </w:tblGrid>
      <w:tr>
        <w:tc>
          <w:tcPr>
            <w:tcW w:type="dxa" w:w="8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Done</w:t>
            </w:r>
          </w:p>
        </w:tc>
        <w:tc>
          <w:tcPr>
            <w:tcW w:type="dxa" w:w="26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 Group</w:t>
            </w:r>
          </w:p>
        </w:tc>
        <w:tc>
          <w:tcPr>
            <w:tcW w:type="dxa" w:w="590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Tasks</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Aims Language</w:t>
            </w:r>
          </w:p>
        </w:tc>
        <w:tc>
          <w:tcPr>
            <w:tcW w:type="dxa" w:w="5900"/>
          </w:tcPr>
          <w:p>
            <w:pPr>
              <w:spacing w:before="0" w:after="0" w:line="276" w:lineRule="auto"/>
            </w:pPr>
            <w:r>
              <w:rPr>
                <w:rFonts w:ascii="Calibri" w:hAnsi="Calibri" w:eastAsia="Calibri"/>
                <w:b w:val="0"/>
                <w:color w:val="1F2937"/>
                <w:sz w:val="18"/>
              </w:rPr>
              <w:t>Finalize exact aims after feedback on the one-page draft</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FHIR Depth</w:t>
            </w:r>
          </w:p>
        </w:tc>
        <w:tc>
          <w:tcPr>
            <w:tcW w:type="dxa" w:w="5900"/>
          </w:tcPr>
          <w:p>
            <w:pPr>
              <w:spacing w:before="0" w:after="0" w:line="276" w:lineRule="auto"/>
            </w:pPr>
            <w:r>
              <w:rPr>
                <w:rFonts w:ascii="Calibri" w:hAnsi="Calibri" w:eastAsia="Calibri"/>
                <w:b w:val="0"/>
                <w:color w:val="1F2937"/>
                <w:sz w:val="18"/>
              </w:rPr>
              <w:t>Decide how much FHIR implementation belongs in Phase I</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Human Subjects</w:t>
            </w:r>
          </w:p>
        </w:tc>
        <w:tc>
          <w:tcPr>
            <w:tcW w:type="dxa" w:w="5900"/>
          </w:tcPr>
          <w:p>
            <w:pPr>
              <w:spacing w:before="0" w:after="0" w:line="276" w:lineRule="auto"/>
            </w:pPr>
            <w:r>
              <w:rPr>
                <w:rFonts w:ascii="Calibri" w:hAnsi="Calibri" w:eastAsia="Calibri"/>
                <w:b w:val="0"/>
                <w:color w:val="1F2937"/>
                <w:sz w:val="18"/>
              </w:rPr>
              <w:t>Clarify whether usability work creates clinical-trial or human-subjects requirements</w:t>
            </w:r>
          </w:p>
        </w:tc>
      </w:tr>
      <w:tr>
        <w:tc>
          <w:tcPr>
            <w:tcW w:type="dxa" w:w="800"/>
          </w:tcPr>
          <w:p>
            <w:pPr>
              <w:spacing w:before="0" w:after="0" w:line="300" w:lineRule="auto"/>
              <w:jc w:val="center"/>
            </w:pPr>
            <w:r>
              <w:rPr>
                <w:rFonts w:ascii="Calibri" w:hAnsi="Calibri" w:eastAsia="Calibri"/>
                <w:b w:val="0"/>
                <w:color w:val="0B2545"/>
                <w:sz w:val="24"/>
              </w:rPr>
              <w:t>☐</w:t>
            </w:r>
          </w:p>
        </w:tc>
        <w:tc>
          <w:tcPr>
            <w:tcW w:type="dxa" w:w="2660"/>
          </w:tcPr>
          <w:p>
            <w:pPr>
              <w:spacing w:before="0" w:after="0" w:line="276" w:lineRule="auto"/>
            </w:pPr>
            <w:r>
              <w:rPr>
                <w:rFonts w:ascii="Calibri" w:hAnsi="Calibri" w:eastAsia="Calibri"/>
                <w:b/>
                <w:color w:val="1F2937"/>
                <w:sz w:val="19"/>
              </w:rPr>
              <w:t>Mechanism</w:t>
            </w:r>
          </w:p>
        </w:tc>
        <w:tc>
          <w:tcPr>
            <w:tcW w:type="dxa" w:w="5900"/>
          </w:tcPr>
          <w:p>
            <w:pPr>
              <w:spacing w:before="0" w:after="0" w:line="276" w:lineRule="auto"/>
            </w:pPr>
            <w:r>
              <w:rPr>
                <w:rFonts w:ascii="Calibri" w:hAnsi="Calibri" w:eastAsia="Calibri"/>
                <w:b w:val="0"/>
                <w:color w:val="1F2937"/>
                <w:sz w:val="18"/>
              </w:rPr>
              <w:t>Confirm SBIR vs STTR if academic partner becomes important</w:t>
            </w:r>
          </w:p>
        </w:tc>
      </w:tr>
    </w:tbl>
    <w:p>
      <w:r>
        <w:br w:type="page"/>
      </w:r>
    </w:p>
    <w:p>
      <w:pPr>
        <w:spacing w:before="360" w:after="200" w:line="300" w:lineRule="auto"/>
      </w:pPr>
      <w:r>
        <w:rPr>
          <w:rFonts w:ascii="Calibri" w:hAnsi="Calibri" w:eastAsia="Calibri"/>
          <w:b/>
          <w:color w:val="2E74B5"/>
          <w:sz w:val="32"/>
        </w:rPr>
        <w:t>Month-By-Month Path To January 5, 2027</w:t>
      </w:r>
    </w:p>
    <w:tbl>
      <w:tblPr>
        <w:tblW w:type="dxa" w:w="9360"/>
        <w:jc w:val="left"/>
        <w:tblLayout w:type="fixed"/>
        <w:tblLook w:firstColumn="1" w:firstRow="1" w:lastColumn="0" w:lastRow="0" w:noHBand="0" w:noVBand="1" w:val="04A0"/>
        <w:tblInd w:w="120" w:type="dxa"/>
      </w:tblPr>
      <w:tblGrid>
        <w:gridCol w:w="1550"/>
        <w:gridCol w:w="2450"/>
        <w:gridCol w:w="5360"/>
      </w:tblGrid>
      <w:tr>
        <w:tc>
          <w:tcPr>
            <w:tcW w:type="dxa" w:w="155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When</w:t>
            </w:r>
          </w:p>
        </w:tc>
        <w:tc>
          <w:tcPr>
            <w:tcW w:type="dxa" w:w="245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Focus</w:t>
            </w:r>
          </w:p>
        </w:tc>
        <w:tc>
          <w:tcPr>
            <w:tcW w:type="dxa" w:w="53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E8EEF5"/>
          </w:tcPr>
          <w:p>
            <w:pPr>
              <w:spacing w:before="0" w:after="0" w:line="276" w:lineRule="auto"/>
            </w:pPr>
            <w:r>
              <w:rPr>
                <w:rFonts w:ascii="Calibri" w:hAnsi="Calibri" w:eastAsia="Calibri"/>
                <w:b/>
                <w:color w:val="0B2545"/>
                <w:sz w:val="20"/>
              </w:rPr>
              <w:t>Main Work</w:t>
            </w:r>
          </w:p>
        </w:tc>
      </w:tr>
      <w:tr>
        <w:tc>
          <w:tcPr>
            <w:tcW w:type="dxa" w:w="1550"/>
          </w:tcPr>
          <w:p>
            <w:pPr>
              <w:spacing w:before="0" w:after="0" w:line="276" w:lineRule="auto"/>
            </w:pPr>
            <w:r>
              <w:rPr>
                <w:rFonts w:ascii="Calibri" w:hAnsi="Calibri" w:eastAsia="Calibri"/>
                <w:b/>
                <w:color w:val="1F2937"/>
                <w:sz w:val="18"/>
              </w:rPr>
              <w:t>July 2026</w:t>
            </w:r>
          </w:p>
        </w:tc>
        <w:tc>
          <w:tcPr>
            <w:tcW w:type="dxa" w:w="2450"/>
          </w:tcPr>
          <w:p>
            <w:pPr>
              <w:spacing w:before="0" w:after="0" w:line="276" w:lineRule="auto"/>
            </w:pPr>
            <w:r>
              <w:rPr>
                <w:rFonts w:ascii="Calibri" w:hAnsi="Calibri" w:eastAsia="Calibri"/>
                <w:b/>
                <w:color w:val="1F2937"/>
                <w:sz w:val="18"/>
              </w:rPr>
              <w:t>Aims + outreach foundation</w:t>
            </w:r>
          </w:p>
        </w:tc>
        <w:tc>
          <w:tcPr>
            <w:tcW w:type="dxa" w:w="5360"/>
          </w:tcPr>
          <w:p>
            <w:pPr>
              <w:spacing w:before="0" w:after="0" w:line="276" w:lineRule="auto"/>
            </w:pPr>
            <w:r>
              <w:rPr>
                <w:rFonts w:ascii="Calibri" w:hAnsi="Calibri" w:eastAsia="Calibri"/>
                <w:b w:val="0"/>
                <w:color w:val="1F2937"/>
                <w:sz w:val="18"/>
              </w:rPr>
              <w:t>Finish one-page aims; build NLM packet; create advisor/partner lists; keep prototype moving.</w:t>
            </w:r>
          </w:p>
        </w:tc>
      </w:tr>
      <w:tr>
        <w:tc>
          <w:tcPr>
            <w:tcW w:type="dxa" w:w="1550"/>
          </w:tcPr>
          <w:p>
            <w:pPr>
              <w:spacing w:before="0" w:after="0" w:line="276" w:lineRule="auto"/>
            </w:pPr>
            <w:r>
              <w:rPr>
                <w:rFonts w:ascii="Calibri" w:hAnsi="Calibri" w:eastAsia="Calibri"/>
                <w:b/>
                <w:color w:val="1F2937"/>
                <w:sz w:val="18"/>
              </w:rPr>
              <w:t>August 2026</w:t>
            </w:r>
          </w:p>
        </w:tc>
        <w:tc>
          <w:tcPr>
            <w:tcW w:type="dxa" w:w="2450"/>
          </w:tcPr>
          <w:p>
            <w:pPr>
              <w:spacing w:before="0" w:after="0" w:line="276" w:lineRule="auto"/>
            </w:pPr>
            <w:r>
              <w:rPr>
                <w:rFonts w:ascii="Calibri" w:hAnsi="Calibri" w:eastAsia="Calibri"/>
                <w:b/>
                <w:color w:val="1F2937"/>
                <w:sz w:val="18"/>
              </w:rPr>
              <w:t>Research design + outreach</w:t>
            </w:r>
          </w:p>
        </w:tc>
        <w:tc>
          <w:tcPr>
            <w:tcW w:type="dxa" w:w="5360"/>
          </w:tcPr>
          <w:p>
            <w:pPr>
              <w:spacing w:before="0" w:after="0" w:line="276" w:lineRule="auto"/>
            </w:pPr>
            <w:r>
              <w:rPr>
                <w:rFonts w:ascii="Calibri" w:hAnsi="Calibri" w:eastAsia="Calibri"/>
                <w:b w:val="0"/>
                <w:color w:val="1F2937"/>
                <w:sz w:val="18"/>
              </w:rPr>
              <w:t>Send follow-up if invited; start advisor and clinic outreach; draft study materials.</w:t>
            </w:r>
          </w:p>
        </w:tc>
      </w:tr>
      <w:tr>
        <w:tc>
          <w:tcPr>
            <w:tcW w:type="dxa" w:w="1550"/>
          </w:tcPr>
          <w:p>
            <w:pPr>
              <w:spacing w:before="0" w:after="0" w:line="276" w:lineRule="auto"/>
            </w:pPr>
            <w:r>
              <w:rPr>
                <w:rFonts w:ascii="Calibri" w:hAnsi="Calibri" w:eastAsia="Calibri"/>
                <w:b/>
                <w:color w:val="1F2937"/>
                <w:sz w:val="18"/>
              </w:rPr>
              <w:t>September 2026</w:t>
            </w:r>
          </w:p>
        </w:tc>
        <w:tc>
          <w:tcPr>
            <w:tcW w:type="dxa" w:w="2450"/>
          </w:tcPr>
          <w:p>
            <w:pPr>
              <w:spacing w:before="0" w:after="0" w:line="276" w:lineRule="auto"/>
            </w:pPr>
            <w:r>
              <w:rPr>
                <w:rFonts w:ascii="Calibri" w:hAnsi="Calibri" w:eastAsia="Calibri"/>
                <w:b/>
                <w:color w:val="1F2937"/>
                <w:sz w:val="18"/>
              </w:rPr>
              <w:t>Company decision prep</w:t>
            </w:r>
          </w:p>
        </w:tc>
        <w:tc>
          <w:tcPr>
            <w:tcW w:type="dxa" w:w="5360"/>
          </w:tcPr>
          <w:p>
            <w:pPr>
              <w:spacing w:before="0" w:after="0" w:line="276" w:lineRule="auto"/>
            </w:pPr>
            <w:r>
              <w:rPr>
                <w:rFonts w:ascii="Calibri" w:hAnsi="Calibri" w:eastAsia="Calibri"/>
                <w:b w:val="0"/>
                <w:color w:val="1F2937"/>
                <w:sz w:val="18"/>
              </w:rPr>
              <w:t>Finalize legal name; use free SBDC/SCORE/legal-clinic guidance; build budget V2.</w:t>
            </w:r>
          </w:p>
        </w:tc>
      </w:tr>
      <w:tr>
        <w:tc>
          <w:tcPr>
            <w:tcW w:type="dxa" w:w="1550"/>
          </w:tcPr>
          <w:p>
            <w:pPr>
              <w:spacing w:before="0" w:after="0" w:line="276" w:lineRule="auto"/>
            </w:pPr>
            <w:r>
              <w:rPr>
                <w:rFonts w:ascii="Calibri" w:hAnsi="Calibri" w:eastAsia="Calibri"/>
                <w:b/>
                <w:color w:val="1F2937"/>
                <w:sz w:val="18"/>
              </w:rPr>
              <w:t>October 2026</w:t>
            </w:r>
          </w:p>
        </w:tc>
        <w:tc>
          <w:tcPr>
            <w:tcW w:type="dxa" w:w="2450"/>
          </w:tcPr>
          <w:p>
            <w:pPr>
              <w:spacing w:before="0" w:after="0" w:line="276" w:lineRule="auto"/>
            </w:pPr>
            <w:r>
              <w:rPr>
                <w:rFonts w:ascii="Calibri" w:hAnsi="Calibri" w:eastAsia="Calibri"/>
                <w:b/>
                <w:color w:val="1F2937"/>
                <w:sz w:val="18"/>
              </w:rPr>
              <w:t>Company + registrations</w:t>
            </w:r>
          </w:p>
        </w:tc>
        <w:tc>
          <w:tcPr>
            <w:tcW w:type="dxa" w:w="5360"/>
          </w:tcPr>
          <w:p>
            <w:pPr>
              <w:spacing w:before="0" w:after="0" w:line="276" w:lineRule="auto"/>
            </w:pPr>
            <w:r>
              <w:rPr>
                <w:rFonts w:ascii="Calibri" w:hAnsi="Calibri" w:eastAsia="Calibri"/>
                <w:b w:val="0"/>
                <w:color w:val="1F2937"/>
                <w:sz w:val="18"/>
              </w:rPr>
              <w:t>Form LLC if financially safe; get EIN; start SAM/UEI and federal accounts.</w:t>
            </w:r>
          </w:p>
        </w:tc>
      </w:tr>
      <w:tr>
        <w:tc>
          <w:tcPr>
            <w:tcW w:type="dxa" w:w="1550"/>
          </w:tcPr>
          <w:p>
            <w:pPr>
              <w:spacing w:before="0" w:after="0" w:line="276" w:lineRule="auto"/>
            </w:pPr>
            <w:r>
              <w:rPr>
                <w:rFonts w:ascii="Calibri" w:hAnsi="Calibri" w:eastAsia="Calibri"/>
                <w:b/>
                <w:color w:val="1F2937"/>
                <w:sz w:val="18"/>
              </w:rPr>
              <w:t>November 2026</w:t>
            </w:r>
          </w:p>
        </w:tc>
        <w:tc>
          <w:tcPr>
            <w:tcW w:type="dxa" w:w="2450"/>
          </w:tcPr>
          <w:p>
            <w:pPr>
              <w:spacing w:before="0" w:after="0" w:line="276" w:lineRule="auto"/>
            </w:pPr>
            <w:r>
              <w:rPr>
                <w:rFonts w:ascii="Calibri" w:hAnsi="Calibri" w:eastAsia="Calibri"/>
                <w:b/>
                <w:color w:val="1F2937"/>
                <w:sz w:val="18"/>
              </w:rPr>
              <w:t>Full application draft</w:t>
            </w:r>
          </w:p>
        </w:tc>
        <w:tc>
          <w:tcPr>
            <w:tcW w:type="dxa" w:w="5360"/>
          </w:tcPr>
          <w:p>
            <w:pPr>
              <w:spacing w:before="0" w:after="0" w:line="276" w:lineRule="auto"/>
            </w:pPr>
            <w:r>
              <w:rPr>
                <w:rFonts w:ascii="Calibri" w:hAnsi="Calibri" w:eastAsia="Calibri"/>
                <w:b w:val="0"/>
                <w:color w:val="1F2937"/>
                <w:sz w:val="18"/>
              </w:rPr>
              <w:t>Finish registrations; complete full draft; collect letters and budget support.</w:t>
            </w:r>
          </w:p>
        </w:tc>
      </w:tr>
      <w:tr>
        <w:tc>
          <w:tcPr>
            <w:tcW w:type="dxa" w:w="1550"/>
          </w:tcPr>
          <w:p>
            <w:pPr>
              <w:spacing w:before="0" w:after="0" w:line="276" w:lineRule="auto"/>
            </w:pPr>
            <w:r>
              <w:rPr>
                <w:rFonts w:ascii="Calibri" w:hAnsi="Calibri" w:eastAsia="Calibri"/>
                <w:b/>
                <w:color w:val="1F2937"/>
                <w:sz w:val="18"/>
              </w:rPr>
              <w:t>December 2026</w:t>
            </w:r>
          </w:p>
        </w:tc>
        <w:tc>
          <w:tcPr>
            <w:tcW w:type="dxa" w:w="2450"/>
          </w:tcPr>
          <w:p>
            <w:pPr>
              <w:spacing w:before="0" w:after="0" w:line="276" w:lineRule="auto"/>
            </w:pPr>
            <w:r>
              <w:rPr>
                <w:rFonts w:ascii="Calibri" w:hAnsi="Calibri" w:eastAsia="Calibri"/>
                <w:b/>
                <w:color w:val="1F2937"/>
                <w:sz w:val="18"/>
              </w:rPr>
              <w:t>Final assembly</w:t>
            </w:r>
          </w:p>
        </w:tc>
        <w:tc>
          <w:tcPr>
            <w:tcW w:type="dxa" w:w="5360"/>
          </w:tcPr>
          <w:p>
            <w:pPr>
              <w:spacing w:before="0" w:after="0" w:line="276" w:lineRule="auto"/>
            </w:pPr>
            <w:r>
              <w:rPr>
                <w:rFonts w:ascii="Calibri" w:hAnsi="Calibri" w:eastAsia="Calibri"/>
                <w:b w:val="0"/>
                <w:color w:val="1F2937"/>
                <w:sz w:val="18"/>
              </w:rPr>
              <w:t>Finalize narratives, budget, forms, attachments; upload early and resolve errors.</w:t>
            </w:r>
          </w:p>
        </w:tc>
      </w:tr>
      <w:tr>
        <w:tc>
          <w:tcPr>
            <w:tcW w:type="dxa" w:w="1550"/>
          </w:tcPr>
          <w:p>
            <w:pPr>
              <w:spacing w:before="0" w:after="0" w:line="276" w:lineRule="auto"/>
            </w:pPr>
            <w:r>
              <w:rPr>
                <w:rFonts w:ascii="Calibri" w:hAnsi="Calibri" w:eastAsia="Calibri"/>
                <w:b/>
                <w:color w:val="1F2937"/>
                <w:sz w:val="18"/>
              </w:rPr>
              <w:t>January 2027</w:t>
            </w:r>
          </w:p>
        </w:tc>
        <w:tc>
          <w:tcPr>
            <w:tcW w:type="dxa" w:w="2450"/>
          </w:tcPr>
          <w:p>
            <w:pPr>
              <w:spacing w:before="0" w:after="0" w:line="276" w:lineRule="auto"/>
            </w:pPr>
            <w:r>
              <w:rPr>
                <w:rFonts w:ascii="Calibri" w:hAnsi="Calibri" w:eastAsia="Calibri"/>
                <w:b/>
                <w:color w:val="1F2937"/>
                <w:sz w:val="18"/>
              </w:rPr>
              <w:t>Submit and confirm</w:t>
            </w:r>
          </w:p>
        </w:tc>
        <w:tc>
          <w:tcPr>
            <w:tcW w:type="dxa" w:w="5360"/>
          </w:tcPr>
          <w:p>
            <w:pPr>
              <w:spacing w:before="0" w:after="0" w:line="276" w:lineRule="auto"/>
            </w:pPr>
            <w:r>
              <w:rPr>
                <w:rFonts w:ascii="Calibri" w:hAnsi="Calibri" w:eastAsia="Calibri"/>
                <w:b w:val="0"/>
                <w:color w:val="1F2937"/>
                <w:sz w:val="18"/>
              </w:rPr>
              <w:t>Submit before January 5; verify Grants.gov and eRA Commons receipt; archive package.</w:t>
            </w:r>
          </w:p>
        </w:tc>
      </w:tr>
    </w:tbl>
    <w:p>
      <w:pPr>
        <w:spacing w:before="360" w:after="200" w:line="300" w:lineRule="auto"/>
      </w:pPr>
      <w:r>
        <w:rPr>
          <w:rFonts w:ascii="Calibri" w:hAnsi="Calibri" w:eastAsia="Calibri"/>
          <w:b/>
          <w:color w:val="2E74B5"/>
          <w:sz w:val="32"/>
        </w:rPr>
        <w:t>Critical Path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6" w:space="0" w:color="B7C4D6"/>
              <w:left w:val="single" w:sz="6" w:space="0" w:color="B7C4D6"/>
              <w:bottom w:val="single" w:sz="6" w:space="0" w:color="B7C4D6"/>
              <w:right w:val="single" w:sz="6" w:space="0" w:color="B7C4D6"/>
            </w:tcBorders>
            <w:shd w:fill="FFF4D6"/>
          </w:tcPr>
          <w:p>
            <w:pPr>
              <w:spacing w:before="0" w:after="40" w:line="300" w:lineRule="auto"/>
            </w:pPr>
            <w:r>
              <w:rPr>
                <w:rFonts w:ascii="Calibri" w:hAnsi="Calibri" w:eastAsia="Calibri"/>
                <w:b/>
                <w:color w:val="0B2545"/>
                <w:sz w:val="22"/>
              </w:rPr>
              <w:t>Most likely schedule blockers</w:t>
            </w:r>
          </w:p>
          <w:p>
            <w:pPr>
              <w:spacing w:before="0" w:after="0" w:line="300" w:lineRule="auto"/>
            </w:pPr>
            <w:r>
              <w:rPr>
                <w:rFonts w:ascii="Calibri" w:hAnsi="Calibri" w:eastAsia="Calibri"/>
                <w:b w:val="0"/>
                <w:color w:val="1F2937"/>
                <w:sz w:val="21"/>
              </w:rPr>
              <w:t>Company formation, SAM.gov/UEI activation, eRA Commons setup, Specific Aims finalization, advisor/partner letters, Research Strategy draft, budget justification, and portal validation.</w:t>
            </w:r>
          </w:p>
        </w:tc>
      </w:tr>
    </w:tbl>
    <w:p>
      <w:pPr>
        <w:spacing w:after="40"/>
      </w:pPr>
    </w:p>
    <w:p>
      <w:pPr>
        <w:pStyle w:val="ListBullet"/>
        <w:spacing w:before="0" w:after="80" w:line="300" w:lineRule="auto"/>
      </w:pPr>
      <w:r>
        <w:rPr>
          <w:rFonts w:ascii="Calibri" w:hAnsi="Calibri" w:eastAsia="Calibri"/>
          <w:b w:val="0"/>
          <w:color w:val="1F2937"/>
        </w:rPr>
        <w:t>Polish the one-page Specific Aims.</w:t>
      </w:r>
    </w:p>
    <w:p>
      <w:pPr>
        <w:pStyle w:val="ListBullet"/>
        <w:spacing w:before="0" w:after="80" w:line="300" w:lineRule="auto"/>
      </w:pPr>
      <w:r>
        <w:rPr>
          <w:rFonts w:ascii="Calibri" w:hAnsi="Calibri" w:eastAsia="Calibri"/>
          <w:b w:val="0"/>
          <w:color w:val="1F2937"/>
        </w:rPr>
        <w:t>Create the NLM follow-up packet.</w:t>
      </w:r>
    </w:p>
    <w:p>
      <w:pPr>
        <w:pStyle w:val="ListBullet"/>
        <w:spacing w:before="0" w:after="80" w:line="300" w:lineRule="auto"/>
      </w:pPr>
      <w:r>
        <w:rPr>
          <w:rFonts w:ascii="Calibri" w:hAnsi="Calibri" w:eastAsia="Calibri"/>
          <w:b w:val="0"/>
          <w:color w:val="1F2937"/>
        </w:rPr>
        <w:t>Make the free business-support outreach list.</w:t>
      </w:r>
    </w:p>
    <w:p>
      <w:pPr>
        <w:pStyle w:val="ListBullet"/>
        <w:spacing w:before="0" w:after="80" w:line="300" w:lineRule="auto"/>
      </w:pPr>
      <w:r>
        <w:rPr>
          <w:rFonts w:ascii="Calibri" w:hAnsi="Calibri" w:eastAsia="Calibri"/>
          <w:b w:val="0"/>
          <w:color w:val="1F2937"/>
        </w:rPr>
        <w:t>Create advisor outreach drafts.</w:t>
      </w:r>
    </w:p>
    <w:p>
      <w:pPr>
        <w:pStyle w:val="ListBullet"/>
        <w:spacing w:before="0" w:after="80" w:line="300" w:lineRule="auto"/>
      </w:pPr>
      <w:r>
        <w:rPr>
          <w:rFonts w:ascii="Calibri" w:hAnsi="Calibri" w:eastAsia="Calibri"/>
          <w:b w:val="0"/>
          <w:color w:val="1F2937"/>
        </w:rPr>
        <w:t>Pick 3-5 possible legal names to check.</w:t>
      </w:r>
    </w:p>
    <w:p>
      <w:pPr>
        <w:pStyle w:val="ListBullet"/>
        <w:spacing w:before="0" w:after="80" w:line="300" w:lineRule="auto"/>
      </w:pPr>
      <w:r>
        <w:rPr>
          <w:rFonts w:ascii="Calibri" w:hAnsi="Calibri" w:eastAsia="Calibri"/>
          <w:b w:val="0"/>
          <w:color w:val="1F2937"/>
        </w:rPr>
        <w:t>Continue app work on provider requests, patient approval, provenance, and package generation.</w:t>
      </w:r>
    </w:p>
    <w:p>
      <w:pPr>
        <w:spacing w:before="360" w:after="200" w:line="300" w:lineRule="auto"/>
      </w:pPr>
      <w:r>
        <w:rPr>
          <w:rFonts w:ascii="Calibri" w:hAnsi="Calibri" w:eastAsia="Calibri"/>
          <w:b/>
          <w:color w:val="2E74B5"/>
          <w:sz w:val="32"/>
        </w:rPr>
        <w:t>Plain-English Rule</w:t>
      </w:r>
    </w:p>
    <w:p>
      <w:pPr>
        <w:spacing w:before="0" w:after="120" w:line="300" w:lineRule="auto"/>
      </w:pPr>
      <w:r>
        <w:rPr>
          <w:rFonts w:ascii="Calibri" w:hAnsi="Calibri" w:eastAsia="Calibri"/>
          <w:b w:val="0"/>
          <w:color w:val="1F2937"/>
        </w:rPr>
        <w:t>Anything that involves writing, planning, prototype work, outreach drafts, or research design can move now. Anything that requires an official applicant organization is locked until the LLC exists. Anything involving real clinical credibility is locked until advisors or partners are engaged.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B677A"/>
        <w:sz w:val="17"/>
      </w:rPr>
      <w:t>Working planning document - update as decisions are made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B677A"/>
        <w:sz w:val="18"/>
      </w:rPr>
      <w:t>ClearPath Grant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