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2400"/>
        <w:jc w:val="center"/>
      </w:pPr>
    </w:p>
    <w:p>
      <w:pPr>
        <w:spacing w:after="160"/>
        <w:jc w:val="center"/>
      </w:pPr>
      <w:r>
        <w:rPr>
          <w:rFonts w:ascii="Georgia" w:cs="Georgia" w:eastAsia="Georgia" w:hAnsi="Georgia"/>
          <w:b/>
          <w:bCs/>
          <w:color w:val="C9A84C"/>
          <w:sz w:val="18"/>
          <w:szCs w:val="18"/>
          <w:spacing w:val="200"/>
        </w:rPr>
        <w:t xml:space="preserve">PRIVILEGED AND CONFIDENTIAL</w:t>
      </w:r>
    </w:p>
    <w:p>
      <w:pPr>
        <w:pBdr>
          <w:bottom w:val="single" w:color="C9A84C" w:sz="4" w:space="6"/>
        </w:pBdr>
        <w:spacing w:after="0"/>
        <w:jc w:val="center"/>
      </w:pPr>
    </w:p>
    <w:p>
      <w:pPr>
        <w:spacing w:after="200"/>
        <w:jc w:val="center"/>
      </w:pPr>
    </w:p>
    <w:p>
      <w:pPr>
        <w:spacing w:after="80"/>
        <w:jc w:val="center"/>
      </w:pPr>
      <w:r>
        <w:rPr>
          <w:rFonts w:ascii="Georgia" w:cs="Georgia" w:eastAsia="Georgia" w:hAnsi="Georgia"/>
          <w:b/>
          <w:bCs/>
          <w:color w:val="0C1A2E"/>
          <w:sz w:val="40"/>
          <w:szCs w:val="40"/>
        </w:rPr>
        <w:t xml:space="preserve">CAPITAL CORRIDOR CAMPUS</w:t>
      </w:r>
    </w:p>
    <w:p>
      <w:pPr>
        <w:spacing w:after="80"/>
        <w:jc w:val="center"/>
      </w:pPr>
    </w:p>
    <w:p>
      <w:pPr>
        <w:spacing w:after="60"/>
        <w:jc w:val="center"/>
      </w:pPr>
      <w:r>
        <w:rPr>
          <w:rFonts w:ascii="Georgia" w:cs="Georgia" w:eastAsia="Georgia" w:hAnsi="Georgia"/>
          <w:color w:val="3A4A5C"/>
          <w:sz w:val="22"/>
          <w:szCs w:val="22"/>
        </w:rPr>
        <w:t xml:space="preserve">Strategic Engagement Overview</w:t>
      </w:r>
    </w:p>
    <w:p>
      <w:pPr>
        <w:spacing w:after="200"/>
        <w:jc w:val="center"/>
      </w:pPr>
    </w:p>
    <w:p>
      <w:pPr>
        <w:pBdr>
          <w:top w:val="single" w:color="C9A84C" w:sz="4" w:space="6"/>
        </w:pBdr>
        <w:spacing w:after="0"/>
        <w:jc w:val="center"/>
      </w:pPr>
    </w:p>
    <w:p>
      <w:pPr>
        <w:spacing w:after="80"/>
        <w:jc w:val="center"/>
      </w:pPr>
    </w:p>
    <w:p>
      <w:pPr>
        <w:spacing w:after="60"/>
        <w:jc w:val="center"/>
      </w:pPr>
      <w:r>
        <w:rPr>
          <w:rFonts w:ascii="Georgia" w:cs="Georgia" w:eastAsia="Georgia" w:hAnsi="Georgia"/>
          <w:color w:val="3A4A5C"/>
          <w:sz w:val="20"/>
          <w:szCs w:val="20"/>
        </w:rPr>
        <w:t xml:space="preserve">179 and 191 Promenade du Portage, Gatineau, QC</w:t>
      </w:r>
    </w:p>
    <w:p>
      <w:pPr>
        <w:spacing w:after="200"/>
        <w:jc w:val="center"/>
      </w:pPr>
    </w:p>
    <w:p>
      <w:pPr>
        <w:spacing w:after="40"/>
        <w:jc w:val="center"/>
      </w:pPr>
      <w:r>
        <w:rPr>
          <w:rFonts w:ascii="Georgia" w:cs="Georgia" w:eastAsia="Georgia" w:hAnsi="Georgia"/>
          <w:color w:val="3A4A5C"/>
          <w:sz w:val="16"/>
          <w:szCs w:val="16"/>
        </w:rPr>
        <w:t xml:space="preserve">Prepared by</w:t>
      </w:r>
    </w:p>
    <w:p>
      <w:pPr>
        <w:spacing w:after="40"/>
        <w:jc w:val="center"/>
      </w:pPr>
      <w:r>
        <w:rPr>
          <w:rFonts w:ascii="Georgia" w:cs="Georgia" w:eastAsia="Georgia" w:hAnsi="Georgia"/>
          <w:b/>
          <w:bCs/>
          <w:color w:val="0C1A2E"/>
          <w:sz w:val="22"/>
          <w:szCs w:val="22"/>
        </w:rPr>
        <w:t>JOSEPH SOARES, MBA, Adm.A., PMP</w:t>
      </w:r>
    </w:p>
    <w:p>
      <w:pPr>
        <w:spacing w:after="40"/>
        <w:jc w:val="center"/>
      </w:pPr>
      <w:r>
        <w:rPr>
          <w:rFonts w:ascii="Georgia" w:cs="Georgia" w:eastAsia="Georgia" w:hAnsi="Georgia"/>
          <w:color w:val="3A4A5C"/>
          <w:sz w:val="20"/>
          <w:szCs w:val="20"/>
        </w:rPr>
        <w:t xml:space="preserve">Managing Partner</w:t>
      </w:r>
    </w:p>
    <w:p>
      <w:pPr>
        <w:spacing w:after="40"/>
        <w:jc w:val="center"/>
      </w:pPr>
      <w:r>
        <w:rPr>
          <w:rFonts w:ascii="Georgia" w:cs="Georgia" w:eastAsia="Georgia" w:hAnsi="Georgia"/>
          <w:color w:val="3A4A5C"/>
          <w:sz w:val="20"/>
          <w:szCs w:val="20"/>
        </w:rPr>
        <w:t xml:space="preserve">IBPROM Corp</w:t>
      </w:r>
    </w:p>
    <w:p>
      <w:pPr>
        <w:spacing w:after="160"/>
        <w:jc w:val="center"/>
      </w:pPr>
    </w:p>
    <w:p>
      <w:pPr>
        <w:spacing w:after="40"/>
        <w:jc w:val="center"/>
      </w:pPr>
      <w:r>
        <w:rPr>
          <w:rFonts w:ascii="Georgia" w:cs="Georgia" w:eastAsia="Georgia" w:hAnsi="Georgia"/>
          <w:color w:val="3A4A5C"/>
          <w:sz w:val="16"/>
          <w:szCs w:val="16"/>
        </w:rPr>
        <w:t xml:space="preserve">Prepared for</w:t>
      </w:r>
    </w:p>
    <w:p>
      <w:pPr>
        <w:spacing w:after="40"/>
        <w:jc w:val="center"/>
      </w:pPr>
      <w:r>
        <w:rPr>
          <w:rFonts w:ascii="Georgia" w:cs="Georgia" w:eastAsia="Georgia" w:hAnsi="Georgia"/>
          <w:b/>
          <w:bCs/>
          <w:color w:val="0C1A2E"/>
          <w:sz w:val="26"/>
          <w:szCs w:val="26"/>
        </w:rPr>
        <w:t xml:space="preserve">DR. NADER AGHARAZI-DORMANI</w:t>
      </w:r>
    </w:p>
    <w:p>
      <w:pPr>
        <w:spacing w:after="40"/>
        <w:jc w:val="center"/>
      </w:pPr>
      <w:r>
        <w:rPr>
          <w:rFonts w:ascii="Georgia" w:cs="Georgia" w:eastAsia="Georgia" w:hAnsi="Georgia"/>
          <w:color w:val="3A4A5C"/>
          <w:sz w:val="20"/>
          <w:szCs w:val="20"/>
        </w:rPr>
        <w:t xml:space="preserve">Groupe Dormani</w:t>
      </w:r>
    </w:p>
    <w:p>
      <w:pPr>
        <w:spacing w:before="200" w:after="40"/>
        <w:jc w:val="center"/>
      </w:pPr>
      <w:r>
        <w:rPr>
          <w:rFonts w:ascii="Georgia" w:cs="Georgia" w:eastAsia="Georgia" w:hAnsi="Georgia"/>
          <w:color w:val="3A4A5C"/>
          <w:sz w:val="20"/>
          <w:szCs w:val="20"/>
        </w:rPr>
        <w:t>April 2026</w:t>
      </w:r>
    </w:p>
    <w:p>
      <w:pPr>
        <w:pStyle w:val="Heading1"/>
        <w:pageBreakBefore/>
        <w:spacing w:after="120" w:before="240" w:line="360"/>
      </w:pPr>
      <w:r>
        <w:t xml:space="preserve">1. Introduction</w:t>
      </w:r>
    </w:p>
    <w:p>
      <w:pPr>
        <w:spacing w:after="120" w:line="360"/>
      </w:pPr>
      <w:r>
        <w:t xml:space="preserve">As the strategic advisor responsible for the development of the Capital Corridor Campus at 179 and 191 Promenade du Portage, and drawing on my experience serving in the Prime Minister's Office during a global financial crisis and as Chief of Staff at the Senate of Canada during the COVID-19 pandemic, I am pleased to present this strategic engagement overview.</w:t>
      </w:r>
    </w:p>
    <w:p>
      <w:pPr>
        <w:spacing w:after="120" w:line="360"/>
      </w:pPr>
      <w:r>
        <w:t xml:space="preserve">This document describes a comprehensive advisory engagement addressing two fundamental questions:</w:t>
      </w:r>
    </w:p>
    <w:p>
      <w:pPr>
        <w:spacing w:after="120" w:before="0" w:line="360"/>
      </w:pPr>
      <w:r>
        <w:t xml:space="preserve">How can we secure long-term stable occupancy for commercial properties that have experienced prolonged vacancy?</w:t>
      </w:r>
    </w:p>
    <w:p>
      <w:pPr>
        <w:spacing w:after="240" w:before="0" w:line="360"/>
      </w:pPr>
      <w:r>
        <w:t xml:space="preserve">How can we step back from daily operational mechanics and reposition for the next chapter — making more money with less effort by leveraging relationships and strategic partnerships?</w:t>
      </w:r>
    </w:p>
    <w:p>
      <w:pPr>
        <w:spacing w:after="120" w:line="360"/>
      </w:pPr>
      <w:r>
        <w:t xml:space="preserve">The Capital Corridor Campus answers both simultaneously. It transforms vacant commercial space into a captive enterprise ecosystem where each tenant is a strategic partner, not a leaseholder. The result: stable, diversified revenue, insulation from turnover risk, and a professional investment that attracts institutional capital and partnerships.</w:t>
      </w:r>
    </w:p>
    <w:p>
      <w:pPr>
        <w:spacing w:after="120" w:line="360"/>
      </w:pPr>
      <w:r>
        <w:t xml:space="preserve">This engagement is structured as six independent component projects, each with its own analysis, financial model, and funding pathway. Components can be advanced independently or in concert. All are designed to strengthen the Campus value proposition.</w:t>
      </w:r>
    </w:p>
    <w:p>
      <w:pPr>
        <w:pStyle w:val="Heading1"/>
        <w:spacing w:after="120" w:before="240" w:line="360"/>
      </w:pPr>
      <w:r>
        <w:t xml:space="preserve">2. How This Engagement Began</w:t>
      </w:r>
    </w:p>
    <w:p>
      <w:pPr>
        <w:spacing w:after="120" w:line="360"/>
      </w:pPr>
      <w:r>
        <w:t xml:space="preserve">In early March 2026, Dr. Dormani asked me to help secure commercial tenancy for the properties at 179 and 191 Promenade du Portage. These properties had experienced prolonged vacancy following the federal government's workforce displacement from downtown Gatineau.</w:t>
      </w:r>
    </w:p>
    <w:p>
      <w:pPr>
        <w:spacing w:after="120" w:line="360"/>
      </w:pPr>
      <w:r>
        <w:t xml:space="preserve">Rather than take a conventional listing approach — register, wait, and hope — I developed a strategic alternative: brand the properties as a unified campus, build a professional digital platform, register on government procurement systems, and create proprietary revenue products.</w:t>
      </w:r>
    </w:p>
    <w:p>
      <w:pPr>
        <w:spacing w:after="120" w:line="360"/>
      </w:pPr>
      <w:r>
        <w:t xml:space="preserve">The name "Capital Corridor Campus" reflects this strategy. Instead of marketing two vacant buildings, we positioned them as a professional ecosystem where government, strategy, and innovation intersect in Canada's National Capital Region. The name gives the properties character, institutional credibility, and market distinction.</w:t>
      </w:r>
    </w:p>
    <w:p>
      <w:pPr>
        <w:spacing w:after="120" w:line="360"/>
      </w:pPr>
      <w:r>
        <w:t xml:space="preserve">What began as a leasing mandate has evolved into a comprehensive strategic engagement — transforming the properties from a cost center into a revenue-generating strategic asset.</w:t>
      </w:r>
    </w:p>
    <w:p>
      <w:pPr>
        <w:pStyle w:val="Heading1"/>
        <w:spacing w:after="120" w:before="240" w:line="360"/>
      </w:pPr>
      <w:r>
        <w:t xml:space="preserve">3. The Capital Corridor Campus Concept</w:t>
      </w:r>
    </w:p>
    <w:p>
      <w:pPr>
        <w:spacing w:after="120" w:line="360"/>
      </w:pPr>
      <w:r>
        <w:t xml:space="preserve">Traditional commercial real estate strategy: find tenants, collect rent, manage the building. This approach treats the landlord-tenant relationship as transactional. Tenants stay as long as the space meets their needs and the price is right. When conditions change, they leave.</w:t>
      </w:r>
    </w:p>
    <w:p>
      <w:pPr>
        <w:spacing w:after="120" w:line="360"/>
      </w:pPr>
      <w:r>
        <w:t xml:space="preserve">The Capital Corridor Campus approach is fundamentally different. Rather than seeking tenants, we seek partners. Instead of a landlord-tenant relationship (which is easily dissolved), we build strategic partnerships where the partner's success is structurally tied to the Campus's success.</w:t>
      </w:r>
    </w:p>
    <w:p>
      <w:pPr>
        <w:spacing w:after="120" w:line="360"/>
      </w:pPr>
      <w:r>
        <w:t xml:space="preserve">A tenant can leave. A partner in a captive enterprise cannot — or chooses not to, because the relationship is too valuable.</w:t>
      </w:r>
    </w:p>
    <w:p>
      <w:pPr>
        <w:spacing w:after="120" w:line="360"/>
      </w:pPr>
      <w:r>
        <w:t xml:space="preserve">Captive partnership is achieved through structured entities — including non-profit organizations — that:</w:t>
      </w:r>
    </w:p>
    <w:p>
      <w:pPr>
        <w:spacing w:after="100" w:before="0" w:line="360"/>
      </w:pPr>
      <w:r>
        <w:t xml:space="preserve">Qualify independently for government funding and grants</w:t>
      </w:r>
    </w:p>
    <w:p>
      <w:pPr>
        <w:spacing w:after="100" w:before="0" w:line="360"/>
      </w:pPr>
      <w:r>
        <w:t xml:space="preserve">Generate revenue from operations, not just from rent</w:t>
      </w:r>
    </w:p>
    <w:p>
      <w:pPr>
        <w:spacing w:after="240" w:before="0" w:line="360"/>
      </w:pPr>
      <w:r>
        <w:t xml:space="preserve">Create measurable social or economic impact aligned with government priorities</w:t>
      </w:r>
    </w:p>
    <w:p>
      <w:pPr>
        <w:spacing w:after="120" w:line="360"/>
      </w:pPr>
      <w:r>
        <w:t xml:space="preserve">The result: a campus of captive enterprises, each independently funded, each contributing to property value and stability, and each insulating the Campus from the traditional vacancy risk that haunts commercial real estate.</w:t>
      </w:r>
    </w:p>
    <w:p>
      <w:pPr>
        <w:pStyle w:val="Heading1"/>
        <w:spacing w:after="120" w:before="240" w:line="360"/>
      </w:pPr>
      <w:r>
        <w:t xml:space="preserve">4. Work Completed to Date</w:t>
      </w:r>
    </w:p>
    <w:p>
      <w:pPr>
        <w:pStyle w:val="Heading2"/>
        <w:spacing w:after="120" w:before="180" w:line="360"/>
      </w:pPr>
      <w:r>
        <w:t xml:space="preserve">4.1 Brand &amp; Positioning Strategy</w:t>
      </w:r>
    </w:p>
    <w:p>
      <w:pPr>
        <w:spacing w:after="120" w:line="360"/>
      </w:pPr>
      <w:r>
        <w:t xml:space="preserve">Complete brand system developed for institutional market positioning. Includes bilingual naming hierarchy, visual identity guidelines, institutional voice, and market positioning language for government and commercial audiences.</w:t>
      </w:r>
    </w:p>
    <w:p>
      <w:pPr>
        <w:pStyle w:val="Heading2"/>
        <w:spacing w:after="120" w:before="180" w:line="360"/>
      </w:pPr>
      <w:r>
        <w:t xml:space="preserve">4.2 Website — campuscorridor.ca</w:t>
      </w:r>
    </w:p>
    <w:p>
      <w:pPr>
        <w:spacing w:after="120" w:line="360"/>
      </w:pPr>
      <w:r>
        <w:t xml:space="preserve">Fully bilingual professional digital platform. Includes property listings for both 179 and 191 Promenade du Portage, detailed floor plans, virtual tours, contact forms, and search engine optimization. Google Search Console verified. 92 published blog articles across EN and FR targeting government-adjacent professionals.</w:t>
      </w:r>
    </w:p>
    <w:p>
      <w:pPr>
        <w:pStyle w:val="Heading2"/>
        <w:spacing w:after="120" w:before="180" w:line="360"/>
      </w:pPr>
      <w:r>
        <w:t xml:space="preserve">4.3 Ground Floor Commercial Listing</w:t>
      </w:r>
    </w:p>
    <w:p>
      <w:pPr>
        <w:spacing w:after="120" w:line="360"/>
      </w:pPr>
      <w:r>
        <w:t xml:space="preserve">Dedicated listing page for 179 ground floor with professional photography, technical floor plans, pricing, and inquiry forms. Property-specific marketing materials and collateral.</w:t>
      </w:r>
    </w:p>
    <w:p>
      <w:pPr>
        <w:pStyle w:val="Heading2"/>
        <w:spacing w:after="120" w:before="180" w:line="360"/>
      </w:pPr>
      <w:r>
        <w:t xml:space="preserve">4.4 Virtual Office &amp; Flex Space Products</w:t>
      </w:r>
    </w:p>
    <w:p>
      <w:pPr>
        <w:spacing w:after="120" w:line="360"/>
      </w:pPr>
      <w:r>
        <w:t xml:space="preserve">Two proprietary revenue product lines modeled on professional shared workspace concepts. Virtual Office: three tiers ($99, $199, $349 per month). Flex Space: three tiers ($75, $299, $899 per month). Both products are live on the website with payment processing active for MVP testing and initial revenue validation.</w:t>
      </w:r>
    </w:p>
    <w:p>
      <w:pPr>
        <w:pStyle w:val="Heading2"/>
        <w:spacing w:after="120" w:before="180" w:line="360"/>
      </w:pPr>
      <w:r>
        <w:t xml:space="preserve">4.5 Government Procurement Registrations</w:t>
      </w:r>
    </w:p>
    <w:p>
      <w:pPr>
        <w:spacing w:after="120" w:line="360"/>
      </w:pPr>
      <w:r>
        <w:t xml:space="preserve">Comprehensive government market registration: CanadaBuys (SAP Enterprise Account at 100% completion, registered in 11 procurement categories), MERX, and SEAO (with automated procurement alerts configured). Both properties registered with PSPC Real Property Services and confirmed in NCA downtown vacancy database. Direct outreach to PSPC officials completed.</w:t>
      </w:r>
    </w:p>
    <w:p>
      <w:pPr>
        <w:pStyle w:val="Heading2"/>
        <w:spacing w:after="120" w:before="180" w:line="360"/>
      </w:pPr>
      <w:r>
        <w:t xml:space="preserve">4.6 Commercial Market Distribution</w:t>
      </w:r>
    </w:p>
    <w:p>
      <w:pPr>
        <w:spacing w:after="120" w:line="360"/>
      </w:pPr>
      <w:r>
        <w:t xml:space="preserve">Multi-channel distribution strategy: CoStar/LoopNet listing transferred to our management; CommercialCafe transfer in progress. Outreach executed to commercial real estate brokers across the National Capital Region, professional services firms (law, accounting, consulting), and federal real property officials.</w:t>
      </w:r>
    </w:p>
    <w:p>
      <w:pPr>
        <w:pStyle w:val="Heading2"/>
        <w:spacing w:after="120" w:before="180" w:line="360"/>
      </w:pPr>
      <w:r>
        <w:t xml:space="preserve">4.7 Öztürk Holding Investment Proposal Review</w:t>
      </w:r>
    </w:p>
    <w:p>
      <w:pPr>
        <w:spacing w:after="120" w:line="360"/>
      </w:pPr>
      <w:r>
        <w:t xml:space="preserve">Comprehensive clause-by-clause analysis of investment proposals from Öztürk Holding A.Ş. (Istanbul, Turkey) regarding La Cité development. FINTRAC compliance concerns identified; counter-proposal framework developed; diplomatic response letter dispatched. Over $1 million in risk exposure identified and addressed.</w:t>
      </w:r>
    </w:p>
    <w:p>
      <w:pPr>
        <w:pStyle w:val="Heading2"/>
        <w:spacing w:after="120" w:before="180" w:line="360"/>
      </w:pPr>
      <w:r>
        <w:t xml:space="preserve">4.8 Salon-Academy Feasibility Analysis</w:t>
      </w:r>
    </w:p>
    <w:p>
      <w:pPr>
        <w:spacing w:after="120" w:line="360"/>
      </w:pPr>
      <w:r>
        <w:t xml:space="preserve">Comprehensive feasibility study completed in both English and French, covering market assessment, financial projections, partnership models, and government funding eligibility. French-language partnership proposition prepared for distribution to educational institutions and professional training partners.</w:t>
      </w:r>
    </w:p>
    <w:p>
      <w:pPr>
        <w:pStyle w:val="Heading2"/>
        <w:spacing w:after="120" w:before="180" w:line="360"/>
      </w:pPr>
      <w:r>
        <w:t xml:space="preserve">4.9 Partnership Opportunity Document</w:t>
      </w:r>
    </w:p>
    <w:p>
      <w:pPr>
        <w:spacing w:after="120" w:line="360"/>
      </w:pPr>
      <w:r>
        <w:t xml:space="preserve">Professional institutional outreach document introducing the Campus concept to potential partners — universities, colleges, government agencies, non-profits, and professional services firms.</w:t>
      </w:r>
    </w:p>
    <w:p>
      <w:pPr>
        <w:pStyle w:val="Heading2"/>
        <w:spacing w:after="120" w:before="180" w:line="360"/>
      </w:pPr>
      <w:r>
        <w:t xml:space="preserve">4.10 Client Portal</w:t>
      </w:r>
    </w:p>
    <w:p>
      <w:pPr>
        <w:spacing w:after="120" w:line="360"/>
      </w:pPr>
      <w:r>
        <w:t xml:space="preserve">Secure, bilingual digital portal deployed at campuscorridor.ca/command-centre.html. Password-protected access. Real-time view of complete engagement: deliverables with downloads, component status, advisory team, project timeline, and property information.</w:t>
      </w:r>
    </w:p>
    <w:p>
      <w:pPr>
        <w:pStyle w:val="Heading1"/>
        <w:spacing w:after="120" w:before="240" w:line="360"/>
      </w:pPr>
      <w:r>
        <w:t xml:space="preserve">5. Cumulative Work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200"/>
            <w:shd w:fill="0C1A2E" w:val="clear"/>
            <w:tcMar>
              <w:top w:type="dxa" w:w="80"/>
              <w:left w:type="dxa" w:w="120"/>
              <w:bottom w:type="dxa" w:w="80"/>
              <w:right w:type="dxa" w:w="120"/>
            </w:tcMar>
          </w:tcPr>
          <w:p>
            <w:r>
              <w:t xml:space="preserve">Deliverable</w:t>
            </w:r>
          </w:p>
        </w:tc>
        <w:tc>
          <w:tcPr>
            <w:tcW w:type="dxa" w:w="3000"/>
            <w:shd w:fill="0C1A2E" w:val="clear"/>
            <w:tcMar>
              <w:top w:type="dxa" w:w="80"/>
              <w:left w:type="dxa" w:w="120"/>
              <w:bottom w:type="dxa" w:w="80"/>
              <w:right w:type="dxa" w:w="120"/>
            </w:tcMar>
          </w:tcPr>
          <w:p>
            <w:r>
              <w:t xml:space="preserve">Category</w:t>
            </w:r>
          </w:p>
        </w:tc>
        <w:tc>
          <w:tcPr>
            <w:tcW w:type="dxa" w:w="2160"/>
            <w:shd w:fill="0C1A2E" w:val="clear"/>
            <w:tcMar>
              <w:top w:type="dxa" w:w="80"/>
              <w:left w:type="dxa" w:w="120"/>
              <w:bottom w:type="dxa" w:w="80"/>
              <w:right w:type="dxa" w:w="120"/>
            </w:tcMar>
          </w:tcPr>
          <w:p>
            <w:r>
              <w:t xml:space="preserve">Completed</w:t>
            </w:r>
          </w:p>
        </w:tc>
      </w:tr>
      <w:tr>
        <w:tc>
          <w:tcPr>
            <w:tcW w:type="dxa" w:w="4200"/>
            <w:tcMar>
              <w:top w:type="dxa" w:w="80"/>
              <w:left w:type="dxa" w:w="120"/>
              <w:bottom w:type="dxa" w:w="80"/>
              <w:right w:type="dxa" w:w="120"/>
            </w:tcMar>
          </w:tcPr>
          <w:p>
            <w:r>
              <w:t xml:space="preserve">CCC Brand &amp; Positioning System</w:t>
            </w:r>
          </w:p>
        </w:tc>
        <w:tc>
          <w:tcPr>
            <w:tcW w:type="dxa" w:w="3000"/>
            <w:tcMar>
              <w:top w:type="dxa" w:w="80"/>
              <w:left w:type="dxa" w:w="120"/>
              <w:bottom w:type="dxa" w:w="80"/>
              <w:right w:type="dxa" w:w="120"/>
            </w:tcMar>
          </w:tcPr>
          <w:p>
            <w:r>
              <w:t xml:space="preserve">Brand Strategy</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campuscorridor.ca — Full Bilingual Website</w:t>
            </w:r>
          </w:p>
        </w:tc>
        <w:tc>
          <w:tcPr>
            <w:tcW w:type="dxa" w:w="3000"/>
            <w:tcMar>
              <w:top w:type="dxa" w:w="80"/>
              <w:left w:type="dxa" w:w="120"/>
              <w:bottom w:type="dxa" w:w="80"/>
              <w:right w:type="dxa" w:w="120"/>
            </w:tcMar>
          </w:tcPr>
          <w:p>
            <w:r>
              <w:t xml:space="preserve">Digital Platform</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Property Pages (179 + 191)</w:t>
            </w:r>
          </w:p>
        </w:tc>
        <w:tc>
          <w:tcPr>
            <w:tcW w:type="dxa" w:w="3000"/>
            <w:tcMar>
              <w:top w:type="dxa" w:w="80"/>
              <w:left w:type="dxa" w:w="120"/>
              <w:bottom w:type="dxa" w:w="80"/>
              <w:right w:type="dxa" w:w="120"/>
            </w:tcMar>
          </w:tcPr>
          <w:p>
            <w:r>
              <w:t xml:space="preserve">Digital Platform</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Ground Floor Listing (179)</w:t>
            </w:r>
          </w:p>
        </w:tc>
        <w:tc>
          <w:tcPr>
            <w:tcW w:type="dxa" w:w="3000"/>
            <w:tcMar>
              <w:top w:type="dxa" w:w="80"/>
              <w:left w:type="dxa" w:w="120"/>
              <w:bottom w:type="dxa" w:w="80"/>
              <w:right w:type="dxa" w:w="120"/>
            </w:tcMar>
          </w:tcPr>
          <w:p>
            <w:r>
              <w:t xml:space="preserve">Digital Platform</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Virtual Office Product (3 tiers)</w:t>
            </w:r>
          </w:p>
        </w:tc>
        <w:tc>
          <w:tcPr>
            <w:tcW w:type="dxa" w:w="3000"/>
            <w:tcMar>
              <w:top w:type="dxa" w:w="80"/>
              <w:left w:type="dxa" w:w="120"/>
              <w:bottom w:type="dxa" w:w="80"/>
              <w:right w:type="dxa" w:w="120"/>
            </w:tcMar>
          </w:tcPr>
          <w:p>
            <w:r>
              <w:t xml:space="preserve">Revenue Product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Flex Space Product (3 tiers)</w:t>
            </w:r>
          </w:p>
        </w:tc>
        <w:tc>
          <w:tcPr>
            <w:tcW w:type="dxa" w:w="3000"/>
            <w:tcMar>
              <w:top w:type="dxa" w:w="80"/>
              <w:left w:type="dxa" w:w="120"/>
              <w:bottom w:type="dxa" w:w="80"/>
              <w:right w:type="dxa" w:w="120"/>
            </w:tcMar>
          </w:tcPr>
          <w:p>
            <w:r>
              <w:t xml:space="preserve">Revenue Product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Payment Processing (MVP Testing)</w:t>
            </w:r>
          </w:p>
        </w:tc>
        <w:tc>
          <w:tcPr>
            <w:tcW w:type="dxa" w:w="3000"/>
            <w:tcMar>
              <w:top w:type="dxa" w:w="80"/>
              <w:left w:type="dxa" w:w="120"/>
              <w:bottom w:type="dxa" w:w="80"/>
              <w:right w:type="dxa" w:w="120"/>
            </w:tcMar>
          </w:tcPr>
          <w:p>
            <w:r>
              <w:t xml:space="preserve">Revenue Infrastructure</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Property Fact Sheets (EN + FR)</w:t>
            </w:r>
          </w:p>
        </w:tc>
        <w:tc>
          <w:tcPr>
            <w:tcW w:type="dxa" w:w="3000"/>
            <w:tcMar>
              <w:top w:type="dxa" w:w="80"/>
              <w:left w:type="dxa" w:w="120"/>
              <w:bottom w:type="dxa" w:w="80"/>
              <w:right w:type="dxa" w:w="120"/>
            </w:tcMar>
          </w:tcPr>
          <w:p>
            <w:r>
              <w:t xml:space="preserve">Marketing</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Virtual Tour Videos (179 + 191)</w:t>
            </w:r>
          </w:p>
        </w:tc>
        <w:tc>
          <w:tcPr>
            <w:tcW w:type="dxa" w:w="3000"/>
            <w:tcMar>
              <w:top w:type="dxa" w:w="80"/>
              <w:left w:type="dxa" w:w="120"/>
              <w:bottom w:type="dxa" w:w="80"/>
              <w:right w:type="dxa" w:w="120"/>
            </w:tcMar>
          </w:tcPr>
          <w:p>
            <w:r>
              <w:t xml:space="preserve">Marketing</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92 SEO Blog Articles (EN + FR)</w:t>
            </w:r>
          </w:p>
        </w:tc>
        <w:tc>
          <w:tcPr>
            <w:tcW w:type="dxa" w:w="3000"/>
            <w:tcMar>
              <w:top w:type="dxa" w:w="80"/>
              <w:left w:type="dxa" w:w="120"/>
              <w:bottom w:type="dxa" w:w="80"/>
              <w:right w:type="dxa" w:w="120"/>
            </w:tcMar>
          </w:tcPr>
          <w:p>
            <w:r>
              <w:t xml:space="preserve">Content Marketing</w:t>
            </w:r>
          </w:p>
        </w:tc>
        <w:tc>
          <w:tcPr>
            <w:tcW w:type="dxa" w:w="2160"/>
            <w:tcMar>
              <w:top w:type="dxa" w:w="80"/>
              <w:left w:type="dxa" w:w="120"/>
              <w:bottom w:type="dxa" w:w="80"/>
              <w:right w:type="dxa" w:w="120"/>
            </w:tcMar>
          </w:tcPr>
          <w:p>
            <w:r>
              <w:t xml:space="preserve">Ongoing</w:t>
            </w:r>
          </w:p>
        </w:tc>
      </w:tr>
      <w:tr>
        <w:tc>
          <w:tcPr>
            <w:tcW w:type="dxa" w:w="4200"/>
            <w:tcMar>
              <w:top w:type="dxa" w:w="80"/>
              <w:left w:type="dxa" w:w="120"/>
              <w:bottom w:type="dxa" w:w="80"/>
              <w:right w:type="dxa" w:w="120"/>
            </w:tcMar>
          </w:tcPr>
          <w:p>
            <w:r>
              <w:t xml:space="preserve">100-Day Content Calendar</w:t>
            </w:r>
          </w:p>
        </w:tc>
        <w:tc>
          <w:tcPr>
            <w:tcW w:type="dxa" w:w="3000"/>
            <w:tcMar>
              <w:top w:type="dxa" w:w="80"/>
              <w:left w:type="dxa" w:w="120"/>
              <w:bottom w:type="dxa" w:w="80"/>
              <w:right w:type="dxa" w:w="120"/>
            </w:tcMar>
          </w:tcPr>
          <w:p>
            <w:r>
              <w:t xml:space="preserve">Content Strategy</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Google Business Profile (Verified)</w:t>
            </w:r>
          </w:p>
        </w:tc>
        <w:tc>
          <w:tcPr>
            <w:tcW w:type="dxa" w:w="3000"/>
            <w:tcMar>
              <w:top w:type="dxa" w:w="80"/>
              <w:left w:type="dxa" w:w="120"/>
              <w:bottom w:type="dxa" w:w="80"/>
              <w:right w:type="dxa" w:w="120"/>
            </w:tcMar>
          </w:tcPr>
          <w:p>
            <w:r>
              <w:t xml:space="preserve">Marketing</w:t>
            </w:r>
          </w:p>
        </w:tc>
        <w:tc>
          <w:tcPr>
            <w:tcW w:type="dxa" w:w="2160"/>
            <w:tcMar>
              <w:top w:type="dxa" w:w="80"/>
              <w:left w:type="dxa" w:w="120"/>
              <w:bottom w:type="dxa" w:w="80"/>
              <w:right w:type="dxa" w:w="120"/>
            </w:tcMar>
          </w:tcPr>
          <w:p>
            <w:r>
              <w:t xml:space="preserve">March 2026</w:t>
            </w:r>
          </w:p>
        </w:tc>
      </w:tr>
      <w:tr>
        <w:tc>
          <w:tcPr>
            <w:tcW w:type="dxa" w:w="4200"/>
            <w:tcMar>
              <w:top w:type="dxa" w:w="80"/>
              <w:left w:type="dxa" w:w="120"/>
              <w:bottom w:type="dxa" w:w="80"/>
              <w:right w:type="dxa" w:w="120"/>
            </w:tcMar>
          </w:tcPr>
          <w:p>
            <w:r>
              <w:t xml:space="preserve">Yelp for Business Profile (Claimed)</w:t>
            </w:r>
          </w:p>
        </w:tc>
        <w:tc>
          <w:tcPr>
            <w:tcW w:type="dxa" w:w="3000"/>
            <w:tcMar>
              <w:top w:type="dxa" w:w="80"/>
              <w:left w:type="dxa" w:w="120"/>
              <w:bottom w:type="dxa" w:w="80"/>
              <w:right w:type="dxa" w:w="120"/>
            </w:tcMar>
          </w:tcPr>
          <w:p>
            <w:r>
              <w:t xml:space="preserve">Marketing</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Google Search Console (Verified)</w:t>
            </w:r>
          </w:p>
        </w:tc>
        <w:tc>
          <w:tcPr>
            <w:tcW w:type="dxa" w:w="3000"/>
            <w:tcMar>
              <w:top w:type="dxa" w:w="80"/>
              <w:left w:type="dxa" w:w="120"/>
              <w:bottom w:type="dxa" w:w="80"/>
              <w:right w:type="dxa" w:w="120"/>
            </w:tcMar>
          </w:tcPr>
          <w:p>
            <w:r>
              <w:t xml:space="preserve">SEO</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CanadaBuys Registration (100%)</w:t>
            </w:r>
          </w:p>
        </w:tc>
        <w:tc>
          <w:tcPr>
            <w:tcW w:type="dxa" w:w="3000"/>
            <w:tcMar>
              <w:top w:type="dxa" w:w="80"/>
              <w:left w:type="dxa" w:w="120"/>
              <w:bottom w:type="dxa" w:w="80"/>
              <w:right w:type="dxa" w:w="120"/>
            </w:tcMar>
          </w:tcPr>
          <w:p>
            <w:r>
              <w:t xml:space="preserve">Gov't Procurement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MERX Registration</w:t>
            </w:r>
          </w:p>
        </w:tc>
        <w:tc>
          <w:tcPr>
            <w:tcW w:type="dxa" w:w="3000"/>
            <w:tcMar>
              <w:top w:type="dxa" w:w="80"/>
              <w:left w:type="dxa" w:w="120"/>
              <w:bottom w:type="dxa" w:w="80"/>
              <w:right w:type="dxa" w:w="120"/>
            </w:tcMar>
          </w:tcPr>
          <w:p>
            <w:r>
              <w:t xml:space="preserve">Gov't Procurement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SEAO Registration + Alerts</w:t>
            </w:r>
          </w:p>
        </w:tc>
        <w:tc>
          <w:tcPr>
            <w:tcW w:type="dxa" w:w="3000"/>
            <w:tcMar>
              <w:top w:type="dxa" w:w="80"/>
              <w:left w:type="dxa" w:w="120"/>
              <w:bottom w:type="dxa" w:w="80"/>
              <w:right w:type="dxa" w:w="120"/>
            </w:tcMar>
          </w:tcPr>
          <w:p>
            <w:r>
              <w:t xml:space="preserve">Gov't Procurement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PSPC Vacancy Database Registration</w:t>
            </w:r>
          </w:p>
        </w:tc>
        <w:tc>
          <w:tcPr>
            <w:tcW w:type="dxa" w:w="3000"/>
            <w:tcMar>
              <w:top w:type="dxa" w:w="80"/>
              <w:left w:type="dxa" w:w="120"/>
              <w:bottom w:type="dxa" w:w="80"/>
              <w:right w:type="dxa" w:w="120"/>
            </w:tcMar>
          </w:tcPr>
          <w:p>
            <w:r>
              <w:t xml:space="preserve">Gov't Procurement</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CoStar/LoopNet Listing (Transferred)</w:t>
            </w:r>
          </w:p>
        </w:tc>
        <w:tc>
          <w:tcPr>
            <w:tcW w:type="dxa" w:w="3000"/>
            <w:tcMar>
              <w:top w:type="dxa" w:w="80"/>
              <w:left w:type="dxa" w:w="120"/>
              <w:bottom w:type="dxa" w:w="80"/>
              <w:right w:type="dxa" w:w="120"/>
            </w:tcMar>
          </w:tcPr>
          <w:p>
            <w:r>
              <w:t xml:space="preserve">Distribution</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Stakeholder Outreach (Brokers, Services, Government)</w:t>
            </w:r>
          </w:p>
        </w:tc>
        <w:tc>
          <w:tcPr>
            <w:tcW w:type="dxa" w:w="3000"/>
            <w:tcMar>
              <w:top w:type="dxa" w:w="80"/>
              <w:left w:type="dxa" w:w="120"/>
              <w:bottom w:type="dxa" w:w="80"/>
              <w:right w:type="dxa" w:w="120"/>
            </w:tcMar>
          </w:tcPr>
          <w:p>
            <w:r>
              <w:t xml:space="preserve">Distribution</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Öztürk Holding Proposal Review</w:t>
            </w:r>
          </w:p>
        </w:tc>
        <w:tc>
          <w:tcPr>
            <w:tcW w:type="dxa" w:w="3000"/>
            <w:tcMar>
              <w:top w:type="dxa" w:w="80"/>
              <w:left w:type="dxa" w:w="120"/>
              <w:bottom w:type="dxa" w:w="80"/>
              <w:right w:type="dxa" w:w="120"/>
            </w:tcMar>
          </w:tcPr>
          <w:p>
            <w:r>
              <w:t xml:space="preserve">Investment Review</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Counter-Proposal + Response Letter</w:t>
            </w:r>
          </w:p>
        </w:tc>
        <w:tc>
          <w:tcPr>
            <w:tcW w:type="dxa" w:w="3000"/>
            <w:tcMar>
              <w:top w:type="dxa" w:w="80"/>
              <w:left w:type="dxa" w:w="120"/>
              <w:bottom w:type="dxa" w:w="80"/>
              <w:right w:type="dxa" w:w="120"/>
            </w:tcMar>
          </w:tcPr>
          <w:p>
            <w:r>
              <w:t xml:space="preserve">Investment Review</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Salon-Academy Feasibility (EN + FR)</w:t>
            </w:r>
          </w:p>
        </w:tc>
        <w:tc>
          <w:tcPr>
            <w:tcW w:type="dxa" w:w="3000"/>
            <w:tcMar>
              <w:top w:type="dxa" w:w="80"/>
              <w:left w:type="dxa" w:w="120"/>
              <w:bottom w:type="dxa" w:w="80"/>
              <w:right w:type="dxa" w:w="120"/>
            </w:tcMar>
          </w:tcPr>
          <w:p>
            <w:r>
              <w:t xml:space="preserve">Component 1</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Salon-École Partnership Proposition (FR)</w:t>
            </w:r>
          </w:p>
        </w:tc>
        <w:tc>
          <w:tcPr>
            <w:tcW w:type="dxa" w:w="3000"/>
            <w:tcMar>
              <w:top w:type="dxa" w:w="80"/>
              <w:left w:type="dxa" w:w="120"/>
              <w:bottom w:type="dxa" w:w="80"/>
              <w:right w:type="dxa" w:w="120"/>
            </w:tcMar>
          </w:tcPr>
          <w:p>
            <w:r>
              <w:t xml:space="preserve">Component 1</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Partnership Opportunity Document</w:t>
            </w:r>
          </w:p>
        </w:tc>
        <w:tc>
          <w:tcPr>
            <w:tcW w:type="dxa" w:w="3000"/>
            <w:tcMar>
              <w:top w:type="dxa" w:w="80"/>
              <w:left w:type="dxa" w:w="120"/>
              <w:bottom w:type="dxa" w:w="80"/>
              <w:right w:type="dxa" w:w="120"/>
            </w:tcMar>
          </w:tcPr>
          <w:p>
            <w:r>
              <w:t xml:space="preserve">Institutional Outreach</w:t>
            </w:r>
          </w:p>
        </w:tc>
        <w:tc>
          <w:tcPr>
            <w:tcW w:type="dxa" w:w="2160"/>
            <w:tcMar>
              <w:top w:type="dxa" w:w="80"/>
              <w:left w:type="dxa" w:w="120"/>
              <w:bottom w:type="dxa" w:w="80"/>
              <w:right w:type="dxa" w:w="120"/>
            </w:tcMar>
          </w:tcPr>
          <w:p>
            <w:r>
              <w:t xml:space="preserve">April 2026</w:t>
            </w:r>
          </w:p>
        </w:tc>
      </w:tr>
      <w:tr>
        <w:tc>
          <w:tcPr>
            <w:tcW w:type="dxa" w:w="4200"/>
            <w:tcMar>
              <w:top w:type="dxa" w:w="80"/>
              <w:left w:type="dxa" w:w="120"/>
              <w:bottom w:type="dxa" w:w="80"/>
              <w:right w:type="dxa" w:w="120"/>
            </w:tcMar>
          </w:tcPr>
          <w:p>
            <w:r>
              <w:t xml:space="preserve">Client Portal (Bilingual, Secure)</w:t>
            </w:r>
          </w:p>
        </w:tc>
        <w:tc>
          <w:tcPr>
            <w:tcW w:type="dxa" w:w="3000"/>
            <w:tcMar>
              <w:top w:type="dxa" w:w="80"/>
              <w:left w:type="dxa" w:w="120"/>
              <w:bottom w:type="dxa" w:w="80"/>
              <w:right w:type="dxa" w:w="120"/>
            </w:tcMar>
          </w:tcPr>
          <w:p>
            <w:r>
              <w:t xml:space="preserve">Project Management</w:t>
            </w:r>
          </w:p>
        </w:tc>
        <w:tc>
          <w:tcPr>
            <w:tcW w:type="dxa" w:w="2160"/>
            <w:tcMar>
              <w:top w:type="dxa" w:w="80"/>
              <w:left w:type="dxa" w:w="120"/>
              <w:bottom w:type="dxa" w:w="80"/>
              <w:right w:type="dxa" w:w="120"/>
            </w:tcMar>
          </w:tcPr>
          <w:p>
            <w:r>
              <w:t xml:space="preserve">April 2026</w:t>
            </w:r>
          </w:p>
        </w:tc>
      </w:tr>
    </w:tbl>
    <w:p>
      <w:pPr>
        <w:spacing w:after="240" w:line="360"/>
      </w:pPr>
    </w:p>
    <w:p>
      <w:pPr>
        <w:spacing w:after="240" w:line="360"/>
      </w:pPr>
      <w:r>
        <w:t xml:space="preserve">Total: 26 major deliverables across brand strategy, digital infrastructure, revenue products, government procurement, distribution, and project management.</w:t>
      </w:r>
    </w:p>
    <w:p>
      <w:pPr>
        <w:pageBreakBefore/>
        <w:pStyle w:val="Heading1"/>
        <w:spacing w:after="120" w:before="240" w:line="360"/>
      </w:pPr>
      <w:r>
        <w:t xml:space="preserve">6. Engagement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C1A2E" w:val="clear"/>
            <w:tcMar>
              <w:top w:type="dxa" w:w="80"/>
              <w:left w:type="dxa" w:w="120"/>
              <w:bottom w:type="dxa" w:w="80"/>
              <w:right w:type="dxa" w:w="120"/>
            </w:tcMar>
          </w:tcPr>
          <w:p>
            <w:r>
              <w:t xml:space="preserve">#</w:t>
            </w:r>
          </w:p>
        </w:tc>
        <w:tc>
          <w:tcPr>
            <w:tcW w:type="dxa" w:w="3200"/>
            <w:shd w:fill="0C1A2E" w:val="clear"/>
            <w:tcMar>
              <w:top w:type="dxa" w:w="80"/>
              <w:left w:type="dxa" w:w="120"/>
              <w:bottom w:type="dxa" w:w="80"/>
              <w:right w:type="dxa" w:w="120"/>
            </w:tcMar>
          </w:tcPr>
          <w:p>
            <w:r>
              <w:t xml:space="preserve">Component</w:t>
            </w:r>
          </w:p>
        </w:tc>
        <w:tc>
          <w:tcPr>
            <w:tcW w:type="dxa" w:w="1400"/>
            <w:shd w:fill="0C1A2E" w:val="clear"/>
            <w:tcMar>
              <w:top w:type="dxa" w:w="80"/>
              <w:left w:type="dxa" w:w="120"/>
              <w:bottom w:type="dxa" w:w="80"/>
              <w:right w:type="dxa" w:w="120"/>
            </w:tcMar>
          </w:tcPr>
          <w:p>
            <w:r>
              <w:t xml:space="preserve">Status</w:t>
            </w:r>
          </w:p>
        </w:tc>
        <w:tc>
          <w:tcPr>
            <w:tcW w:type="dxa" w:w="4260"/>
            <w:shd w:fill="0C1A2E" w:val="clear"/>
            <w:tcMar>
              <w:top w:type="dxa" w:w="80"/>
              <w:left w:type="dxa" w:w="120"/>
              <w:bottom w:type="dxa" w:w="80"/>
              <w:right w:type="dxa" w:w="120"/>
            </w:tcMar>
          </w:tcPr>
          <w:p>
            <w:r>
              <w:t xml:space="preserve">Summary</w:t>
            </w:r>
          </w:p>
        </w:tc>
      </w:tr>
      <w:tr>
        <w:tc>
          <w:tcPr>
            <w:tcW w:type="dxa" w:w="500"/>
            <w:tcMar>
              <w:top w:type="dxa" w:w="80"/>
              <w:left w:type="dxa" w:w="120"/>
              <w:bottom w:type="dxa" w:w="80"/>
              <w:right w:type="dxa" w:w="120"/>
            </w:tcMar>
          </w:tcPr>
          <w:p>
            <w:r>
              <w:t xml:space="preserve">1</w:t>
            </w:r>
          </w:p>
        </w:tc>
        <w:tc>
          <w:tcPr>
            <w:tcW w:type="dxa" w:w="3200"/>
            <w:tcMar>
              <w:top w:type="dxa" w:w="80"/>
              <w:left w:type="dxa" w:w="120"/>
              <w:bottom w:type="dxa" w:w="80"/>
              <w:right w:type="dxa" w:w="120"/>
            </w:tcMar>
          </w:tcPr>
          <w:p>
            <w:r>
              <w:t xml:space="preserve">Hybrid Salon-Academy Feasibility</w:t>
            </w:r>
          </w:p>
        </w:tc>
        <w:tc>
          <w:tcPr>
            <w:tcW w:type="dxa" w:w="1400"/>
            <w:tcMar>
              <w:top w:type="dxa" w:w="80"/>
              <w:left w:type="dxa" w:w="120"/>
              <w:bottom w:type="dxa" w:w="80"/>
              <w:right w:type="dxa" w:w="120"/>
            </w:tcMar>
          </w:tcPr>
          <w:p>
            <w:r>
              <w:t xml:space="preserve">Delivered</w:t>
            </w:r>
          </w:p>
        </w:tc>
        <w:tc>
          <w:tcPr>
            <w:tcW w:type="dxa" w:w="4260"/>
            <w:tcMar>
              <w:top w:type="dxa" w:w="80"/>
              <w:left w:type="dxa" w:w="120"/>
              <w:bottom w:type="dxa" w:w="80"/>
              <w:right w:type="dxa" w:w="120"/>
            </w:tcMar>
          </w:tcPr>
          <w:p>
            <w:r>
              <w:t xml:space="preserve">Feasibility analysis (EN+FR) delivered. Partnership proposition (FR) ready for institutional distribution.</w:t>
            </w:r>
          </w:p>
        </w:tc>
      </w:tr>
      <w:tr>
        <w:tc>
          <w:tcPr>
            <w:tcW w:type="dxa" w:w="500"/>
            <w:tcMar>
              <w:top w:type="dxa" w:w="80"/>
              <w:left w:type="dxa" w:w="120"/>
              <w:bottom w:type="dxa" w:w="80"/>
              <w:right w:type="dxa" w:w="120"/>
            </w:tcMar>
          </w:tcPr>
          <w:p>
            <w:r>
              <w:t xml:space="preserve">2</w:t>
            </w:r>
          </w:p>
        </w:tc>
        <w:tc>
          <w:tcPr>
            <w:tcW w:type="dxa" w:w="3200"/>
            <w:tcMar>
              <w:top w:type="dxa" w:w="80"/>
              <w:left w:type="dxa" w:w="120"/>
              <w:bottom w:type="dxa" w:w="80"/>
              <w:right w:type="dxa" w:w="120"/>
            </w:tcMar>
          </w:tcPr>
          <w:p>
            <w:r>
              <w:t xml:space="preserve">Virtual Office &amp; Flexible Workspace</w:t>
            </w:r>
          </w:p>
        </w:tc>
        <w:tc>
          <w:tcPr>
            <w:tcW w:type="dxa" w:w="1400"/>
            <w:tcMar>
              <w:top w:type="dxa" w:w="80"/>
              <w:left w:type="dxa" w:w="120"/>
              <w:bottom w:type="dxa" w:w="80"/>
              <w:right w:type="dxa" w:w="120"/>
            </w:tcMar>
          </w:tcPr>
          <w:p>
            <w:r>
              <w:t xml:space="preserve">MVP Live</w:t>
            </w:r>
          </w:p>
        </w:tc>
        <w:tc>
          <w:tcPr>
            <w:tcW w:type="dxa" w:w="4260"/>
            <w:tcMar>
              <w:top w:type="dxa" w:w="80"/>
              <w:left w:type="dxa" w:w="120"/>
              <w:bottom w:type="dxa" w:w="80"/>
              <w:right w:type="dxa" w:w="120"/>
            </w:tcMar>
          </w:tcPr>
          <w:p>
            <w:r>
              <w:t xml:space="preserve">Three-tier products live on website with payment processing (MVP testing). Awaiting first transaction to validate model.</w:t>
            </w:r>
          </w:p>
        </w:tc>
      </w:tr>
      <w:tr>
        <w:tc>
          <w:tcPr>
            <w:tcW w:type="dxa" w:w="500"/>
            <w:tcMar>
              <w:top w:type="dxa" w:w="80"/>
              <w:left w:type="dxa" w:w="120"/>
              <w:bottom w:type="dxa" w:w="80"/>
              <w:right w:type="dxa" w:w="120"/>
            </w:tcMar>
          </w:tcPr>
          <w:p>
            <w:r>
              <w:t xml:space="preserve">3</w:t>
            </w:r>
          </w:p>
        </w:tc>
        <w:tc>
          <w:tcPr>
            <w:tcW w:type="dxa" w:w="3200"/>
            <w:tcMar>
              <w:top w:type="dxa" w:w="80"/>
              <w:left w:type="dxa" w:w="120"/>
              <w:bottom w:type="dxa" w:w="80"/>
              <w:right w:type="dxa" w:w="120"/>
            </w:tcMar>
          </w:tcPr>
          <w:p>
            <w:r>
              <w:t xml:space="preserve">Innovation &amp; Research Laboratory</w:t>
            </w:r>
          </w:p>
        </w:tc>
        <w:tc>
          <w:tcPr>
            <w:tcW w:type="dxa" w:w="1400"/>
            <w:tcMar>
              <w:top w:type="dxa" w:w="80"/>
              <w:left w:type="dxa" w:w="120"/>
              <w:bottom w:type="dxa" w:w="80"/>
              <w:right w:type="dxa" w:w="120"/>
            </w:tcMar>
          </w:tcPr>
          <w:p>
            <w:r>
              <w:t xml:space="preserve">Planned</w:t>
            </w:r>
          </w:p>
        </w:tc>
        <w:tc>
          <w:tcPr>
            <w:tcW w:type="dxa" w:w="4260"/>
            <w:tcMar>
              <w:top w:type="dxa" w:w="80"/>
              <w:left w:type="dxa" w:w="120"/>
              <w:bottom w:type="dxa" w:w="80"/>
              <w:right w:type="dxa" w:w="120"/>
            </w:tcMar>
          </w:tcPr>
          <w:p>
            <w:r>
              <w:t xml:space="preserve">Non-profit entity design for applied research and professional development. Potential partners include UQO, private training firms, or purpose-built organization.</w:t>
            </w:r>
          </w:p>
        </w:tc>
      </w:tr>
      <w:tr>
        <w:tc>
          <w:tcPr>
            <w:tcW w:type="dxa" w:w="500"/>
            <w:tcMar>
              <w:top w:type="dxa" w:w="80"/>
              <w:left w:type="dxa" w:w="120"/>
              <w:bottom w:type="dxa" w:w="80"/>
              <w:right w:type="dxa" w:w="120"/>
            </w:tcMar>
          </w:tcPr>
          <w:p>
            <w:r>
              <w:t xml:space="preserve">4</w:t>
            </w:r>
          </w:p>
        </w:tc>
        <w:tc>
          <w:tcPr>
            <w:tcW w:type="dxa" w:w="3200"/>
            <w:tcMar>
              <w:top w:type="dxa" w:w="80"/>
              <w:left w:type="dxa" w:w="120"/>
              <w:bottom w:type="dxa" w:w="80"/>
              <w:right w:type="dxa" w:w="120"/>
            </w:tcMar>
          </w:tcPr>
          <w:p>
            <w:r>
              <w:t xml:space="preserve">Leadership &amp; Professional Training</w:t>
            </w:r>
          </w:p>
        </w:tc>
        <w:tc>
          <w:tcPr>
            <w:tcW w:type="dxa" w:w="1400"/>
            <w:tcMar>
              <w:top w:type="dxa" w:w="80"/>
              <w:left w:type="dxa" w:w="120"/>
              <w:bottom w:type="dxa" w:w="80"/>
              <w:right w:type="dxa" w:w="120"/>
            </w:tcMar>
          </w:tcPr>
          <w:p>
            <w:r>
              <w:t xml:space="preserve">Planned</w:t>
            </w:r>
          </w:p>
        </w:tc>
        <w:tc>
          <w:tcPr>
            <w:tcW w:type="dxa" w:w="4260"/>
            <w:tcMar>
              <w:top w:type="dxa" w:w="80"/>
              <w:left w:type="dxa" w:w="120"/>
              <w:bottom w:type="dxa" w:w="80"/>
              <w:right w:type="dxa" w:w="120"/>
            </w:tcMar>
          </w:tcPr>
          <w:p>
            <w:r>
              <w:t xml:space="preserve">Partner with established providers to deliver professional training from the Campus. Converts landlord-tenant relationships into strategic partnerships.</w:t>
            </w:r>
          </w:p>
        </w:tc>
      </w:tr>
      <w:tr>
        <w:tc>
          <w:tcPr>
            <w:tcW w:type="dxa" w:w="500"/>
            <w:tcMar>
              <w:top w:type="dxa" w:w="80"/>
              <w:left w:type="dxa" w:w="120"/>
              <w:bottom w:type="dxa" w:w="80"/>
              <w:right w:type="dxa" w:w="120"/>
            </w:tcMar>
          </w:tcPr>
          <w:p>
            <w:r>
              <w:t xml:space="preserve">5</w:t>
            </w:r>
          </w:p>
        </w:tc>
        <w:tc>
          <w:tcPr>
            <w:tcW w:type="dxa" w:w="3200"/>
            <w:tcMar>
              <w:top w:type="dxa" w:w="80"/>
              <w:left w:type="dxa" w:w="120"/>
              <w:bottom w:type="dxa" w:w="80"/>
              <w:right w:type="dxa" w:w="120"/>
            </w:tcMar>
          </w:tcPr>
          <w:p>
            <w:r>
              <w:t xml:space="preserve">Government Funding Strategy</w:t>
            </w:r>
          </w:p>
        </w:tc>
        <w:tc>
          <w:tcPr>
            <w:tcW w:type="dxa" w:w="1400"/>
            <w:tcMar>
              <w:top w:type="dxa" w:w="80"/>
              <w:left w:type="dxa" w:w="120"/>
              <w:bottom w:type="dxa" w:w="80"/>
              <w:right w:type="dxa" w:w="120"/>
            </w:tcMar>
          </w:tcPr>
          <w:p>
            <w:r>
              <w:t xml:space="preserve">In Progress</w:t>
            </w:r>
          </w:p>
        </w:tc>
        <w:tc>
          <w:tcPr>
            <w:tcW w:type="dxa" w:w="4260"/>
            <w:tcMar>
              <w:top w:type="dxa" w:w="80"/>
              <w:left w:type="dxa" w:w="120"/>
              <w:bottom w:type="dxa" w:w="80"/>
              <w:right w:type="dxa" w:w="120"/>
            </w:tcMar>
          </w:tcPr>
          <w:p>
            <w:r>
              <w:t xml:space="preserve">Cross-component funding roadmap. All procurement platforms registered. Governance architecture for grant positioning.</w:t>
            </w:r>
          </w:p>
        </w:tc>
      </w:tr>
      <w:tr>
        <w:tc>
          <w:tcPr>
            <w:tcW w:type="dxa" w:w="500"/>
            <w:tcMar>
              <w:top w:type="dxa" w:w="80"/>
              <w:left w:type="dxa" w:w="120"/>
              <w:bottom w:type="dxa" w:w="80"/>
              <w:right w:type="dxa" w:w="120"/>
            </w:tcMar>
          </w:tcPr>
          <w:p>
            <w:r>
              <w:t xml:space="preserve">6</w:t>
            </w:r>
          </w:p>
        </w:tc>
        <w:tc>
          <w:tcPr>
            <w:tcW w:type="dxa" w:w="3200"/>
            <w:tcMar>
              <w:top w:type="dxa" w:w="80"/>
              <w:left w:type="dxa" w:w="120"/>
              <w:bottom w:type="dxa" w:w="80"/>
              <w:right w:type="dxa" w:w="120"/>
            </w:tcMar>
          </w:tcPr>
          <w:p>
            <w:r>
              <w:t xml:space="preserve">Governance &amp; Entity Structure</w:t>
            </w:r>
          </w:p>
        </w:tc>
        <w:tc>
          <w:tcPr>
            <w:tcW w:type="dxa" w:w="1400"/>
            <w:tcMar>
              <w:top w:type="dxa" w:w="80"/>
              <w:left w:type="dxa" w:w="120"/>
              <w:bottom w:type="dxa" w:w="80"/>
              <w:right w:type="dxa" w:w="120"/>
            </w:tcMar>
          </w:tcPr>
          <w:p>
            <w:r>
              <w:t xml:space="preserve">Planned</w:t>
            </w:r>
          </w:p>
        </w:tc>
        <w:tc>
          <w:tcPr>
            <w:tcW w:type="dxa" w:w="4260"/>
            <w:tcMar>
              <w:top w:type="dxa" w:w="80"/>
              <w:left w:type="dxa" w:w="120"/>
              <w:bottom w:type="dxa" w:w="80"/>
              <w:right w:type="dxa" w:w="120"/>
            </w:tcMar>
          </w:tcPr>
          <w:p>
            <w:r>
              <w:t xml:space="preserve">Advisory board, non-profit formation, professional management practices. Unlocks institutional funding, attracts partners, protects interests through accountable governance.</w:t>
            </w:r>
          </w:p>
        </w:tc>
      </w:tr>
    </w:tbl>
    <w:p>
      <w:pPr>
        <w:pageBreakBefore/>
        <w:pStyle w:val="Heading1"/>
        <w:spacing w:after="120" w:before="240" w:line="360"/>
      </w:pPr>
      <w:r>
        <w:t xml:space="preserve">7. Advisory Scope &amp; Engagement Parameters</w:t>
      </w:r>
    </w:p>
    <w:p>
      <w:pPr>
        <w:spacing w:after="120" w:line="360"/>
      </w:pPr>
      <w:r>
        <w:t xml:space="preserve">This engagement is designed so that Dr. Dormani has one strategic advisor. I am the single point of contact. I do the thinking, build and manage relationships, identify and secure funding, find and coordinate operators. Dr. Dormani talks to me. I manage everything else.</w:t>
      </w:r>
    </w:p>
    <w:p>
      <w:pPr>
        <w:spacing w:after="120" w:line="360"/>
      </w:pPr>
      <w:r>
        <w:t xml:space="preserve">This is a deliberate structural choice based on shared experience from the La Cité Gatineau Phase 1 engagement. I contributed across a broad range of activities — strategy, relationship building, investment review, and operational coordination. The learning was clear: the highest value I provide is not task execution, but rather strategy design and relationship management. Operational execution requires a different skill set and cost structure.</w:t>
      </w:r>
    </w:p>
    <w:p>
      <w:pPr>
        <w:spacing w:after="120" w:line="360"/>
      </w:pPr>
      <w:r>
        <w:t xml:space="preserve">My role: find the right people, bring them to Dr. Dormani for approval, and manage on his behalf. No need to coordinate between multiple advisors. Single line of command. Clear accountability.</w:t>
      </w:r>
    </w:p>
    <w:p>
      <w:pPr>
        <w:spacing w:after="120" w:line="360"/>
      </w:pPr>
      <w:r>
        <w:t xml:space="preserve">Two core capabilities anchor this engagement:</w:t>
      </w:r>
    </w:p>
    <w:p>
      <w:pPr>
        <w:spacing w:after="100" w:before="0" w:line="360"/>
      </w:pPr>
      <w:r>
        <w:t xml:space="preserve">Strategic Planning &amp; Holistic Portfolio Thinking — I see how components interconnect, how government policy intersects with revenue strategy, how timeline and sequencing multiply impact.</w:t>
      </w:r>
    </w:p>
    <w:p>
      <w:pPr>
        <w:spacing w:after="240" w:before="0" w:line="360"/>
      </w:pPr>
      <w:r>
        <w:t xml:space="preserve">Relationship Management &amp; Stakeholder Engagement — I build and maintain relationships with government officials, institutional partners, operators, and investors. I position Dr. Dormani as the principal, and I as the executor and problem-solver.</w:t>
      </w:r>
    </w:p>
    <w:p>
      <w:pPr>
        <w:pStyle w:val="Heading1"/>
        <w:spacing w:after="120" w:before="240" w:line="360"/>
      </w:pPr>
      <w:r>
        <w:t xml:space="preserve">8. Client Portal</w:t>
      </w:r>
    </w:p>
    <w:p>
      <w:pPr>
        <w:spacing w:after="120" w:line="360"/>
      </w:pPr>
      <w:r>
        <w:t xml:space="preserve">A secure digital portal provides Dr. Dormani and his advisors real-time access to the full scope of this engagement.</w:t>
      </w:r>
    </w:p>
    <w:p>
      <w:pPr>
        <w:spacing w:after="120" w:before="120" w:line="360"/>
        <w:jc w:val="center"/>
      </w:pPr>
      <w:r>
        <w:t xml:space="preserve">campuscorridor.ca/command-centre.html</w:t>
      </w:r>
    </w:p>
    <w:p>
      <w:pPr>
        <w:spacing w:after="240" w:before="0" w:line="360"/>
        <w:jc w:val="center"/>
      </w:pPr>
      <w:r>
        <w:t xml:space="preserve">Access Code: CCC2026</w:t>
      </w:r>
    </w:p>
    <w:p>
      <w:pPr>
        <w:spacing w:after="120" w:line="360"/>
      </w:pPr>
      <w:r>
        <w:t xml:space="preserve">Bilingual interface. Updated regularly. Can be shared securely with accountant, legal counsel, and other advisors. Real-time view of deliverables (with downloadable documents), component status and timeline, advisory team information, and property details.</w:t>
      </w:r>
    </w:p>
    <w:p>
      <w:pPr>
        <w:pageBreakBefore/>
        <w:pStyle w:val="Heading1"/>
        <w:spacing w:after="120" w:before="240" w:line="360"/>
      </w:pPr>
      <w:r>
        <w:t xml:space="preserve">9. Next Steps</w:t>
      </w:r>
    </w:p>
    <w:p>
      <w:pPr>
        <w:spacing w:after="200" w:line="360"/>
      </w:pPr>
      <w:r>
        <w:t xml:space="preserve">Virtual Office First Transaction</w:t>
      </w:r>
      <w:r>
        <w:rPr>
          <w:rFonts w:ascii="Georgia" w:cs="Georgia" w:eastAsia="Georgia" w:hAnsi="Georgia"/>
          <w:sz w:val="22"/>
          <w:szCs w:val="22"/>
        </w:rPr>
        <w:t xml:space="preserve"> — product is live and payment-ready. First confirmed booking validates the model and triggers expansion planning.</w:t>
      </w:r>
    </w:p>
    <w:p>
      <w:pPr>
        <w:spacing w:after="200" w:line="360"/>
      </w:pPr>
      <w:r>
        <w:t xml:space="preserve">Salon-École Institutional Outreach</w:t>
      </w:r>
      <w:r>
        <w:rPr>
          <w:rFonts w:ascii="Georgia" w:cs="Georgia" w:eastAsia="Georgia" w:hAnsi="Georgia"/>
          <w:sz w:val="22"/>
          <w:szCs w:val="22"/>
        </w:rPr>
        <w:t xml:space="preserve"> — French-language partnership proposition ready for distribution to educational institutions. Awaiting approval to begin outreach.</w:t>
      </w:r>
    </w:p>
    <w:p>
      <w:pPr>
        <w:spacing w:after="200" w:line="360"/>
      </w:pPr>
      <w:r>
        <w:t xml:space="preserve">Continued Stakeholder Engagement</w:t>
      </w:r>
      <w:r>
        <w:rPr>
          <w:rFonts w:ascii="Georgia" w:cs="Georgia" w:eastAsia="Georgia" w:hAnsi="Georgia"/>
          <w:sz w:val="22"/>
          <w:szCs w:val="22"/>
        </w:rPr>
        <w:t xml:space="preserve"> — building on outreach already executed to brokers, professional services firms, and government contacts.</w:t>
      </w:r>
    </w:p>
    <w:p>
      <w:pPr>
        <w:spacing w:after="400" w:line="360"/>
      </w:pPr>
      <w:r>
        <w:t xml:space="preserve">Remaining Components</w:t>
      </w:r>
      <w:r>
        <w:rPr>
          <w:rFonts w:ascii="Georgia" w:cs="Georgia" w:eastAsia="Georgia" w:hAnsi="Georgia"/>
          <w:sz w:val="22"/>
          <w:szCs w:val="22"/>
        </w:rPr>
        <w:t xml:space="preserve"> — delivered in sequence, each with its own analysis, financial model, and funding application where applicable.</w:t>
      </w:r>
    </w:p>
    <w:p>
      <w:pPr>
        <w:pBdr>
          <w:bottom w:val="single" w:color="C9A84C" w:sz="24" w:space="1"/>
        </w:pBdr>
        <w:spacing w:after="200"/>
      </w:pPr>
    </w:p>
    <w:p>
      <w:pPr>
        <w:spacing w:after="60" w:line="360"/>
        <w:jc w:val="center"/>
      </w:pPr>
      <w:r>
        <w:t xml:space="preserve">IBPROM Corp</w:t>
      </w:r>
    </w:p>
    <w:p>
      <w:pPr>
        <w:spacing w:after="60" w:line="360"/>
        <w:jc w:val="center"/>
      </w:pPr>
      <w:r>
        <w:t xml:space="preserve">josephsoares.com</w:t>
      </w:r>
    </w:p>
    <w:p>
      <w:pPr>
        <w:spacing w:after="0" w:line="360"/>
        <w:jc w:val="center"/>
      </w:pPr>
      <w:r>
        <w:t xml:space="preserve">Gatineau, Quebec</w:t>
      </w:r>
    </w:p>
    <w:sectPr>
      <w:headerReference w:type="first" r:id="rId9"/>
      <w:headerReference w:type="default" r:id="rId7"/>
      <w:footerReference w:type="first" r:id="rId10"/>
      <w:footerReference w:type="default" r:id="rId8"/>
      <w:titlePg/>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Georgia" w:cs="Georgia" w:eastAsia="Georgia" w:hAnsi="Georgia"/>
        <w:color w:val="999999"/>
        <w:sz w:val="16"/>
        <w:szCs w:val="16"/>
      </w:rPr>
      <w:fldChar w:fldCharType="begin"/>
    </w:r>
    <w:r>
      <w:rPr>
        <w:rFonts w:ascii="Georgia" w:cs="Georgia" w:eastAsia="Georgia" w:hAnsi="Georgia"/>
        <w:color w:val="999999"/>
        <w:sz w:val="16"/>
        <w:szCs w:val="16"/>
      </w:rPr>
      <w:instrText xml:space="preserve"> PAGE </w:instrText>
    </w:r>
    <w:r>
      <w:rPr>
        <w:rFonts w:ascii="Georgia" w:cs="Georgia" w:eastAsia="Georgia" w:hAnsi="Georgia"/>
        <w:color w:val="99999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xmlns:r="http://schemas.openxmlformats.org/officeDocument/2006/relationships">
  <w:p>
    <w:pPr>
      <w:jc w:val="left"/>
    </w:pPr>
    <w:r>
      <w:rPr>
        <w:rFonts w:ascii="Georgia" w:hAnsi="Georgia"/>
        <w:i/>
        <w:color w:val="999999"/>
        <w:sz w:val="16"/>
        <w:szCs w:val="16"/>
      </w:rPr>
      <w:t>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2026-04-14T17:23:10.272Z</dcterms:created>
  <dcterms:modified xsi:type="dcterms:W3CDTF">2026-04-14T17:23:10.272Z</dcterms:modified>
</cp:coreProperties>
</file>

<file path=docProps/custom.xml><?xml version="1.0" encoding="utf-8"?>
<Properties xmlns="http://schemas.openxmlformats.org/officeDocument/2006/custom-properties" xmlns:vt="http://schemas.openxmlformats.org/officeDocument/2006/docPropsVTypes"/>
</file>