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p>
    <w:p>
      <w:pPr>
        <w:spacing w:after="160"/>
        <w:jc w:val="center"/>
      </w:pPr>
      <w:r>
        <w:rPr>
          <w:rFonts w:ascii="Georgia" w:cs="Georgia" w:eastAsia="Georgia" w:hAnsi="Georgia"/>
          <w:b/>
          <w:bCs/>
          <w:color w:val="C9A84C"/>
          <w:spacing w:val="200"/>
          <w:sz w:val="18"/>
          <w:szCs w:val="18"/>
        </w:rPr>
        <w:t xml:space="preserve">PRIVILEGED AND CONFIDENTIAL</w:t>
      </w:r>
    </w:p>
    <w:p>
      <w:pPr>
        <w:pBdr>
          <w:bottom w:val="single" w:color="C9A84C" w:sz="4" w:space="6"/>
        </w:pBdr>
        <w:spacing w:after="0"/>
        <w:jc w:val="center"/>
      </w:pPr>
    </w:p>
    <w:p>
      <w:pPr>
        <w:spacing w:after="300"/>
      </w:pPr>
    </w:p>
    <w:p>
      <w:pPr>
        <w:spacing w:after="120"/>
        <w:jc w:val="center"/>
      </w:pPr>
      <w:r>
        <w:rPr>
          <w:rFonts w:ascii="Georgia" w:cs="Georgia" w:eastAsia="Georgia" w:hAnsi="Georgia"/>
          <w:b/>
          <w:bCs/>
          <w:color w:val="0C1A2E"/>
          <w:sz w:val="40"/>
          <w:szCs w:val="40"/>
        </w:rPr>
        <w:t xml:space="preserve">HYBRID SALON-ACADEMY MODEL</w:t>
      </w:r>
    </w:p>
    <w:p>
      <w:pPr>
        <w:spacing w:after="120"/>
      </w:pPr>
    </w:p>
    <w:p>
      <w:pPr>
        <w:spacing w:after="80"/>
        <w:jc w:val="center"/>
      </w:pPr>
      <w:r>
        <w:rPr>
          <w:rFonts w:ascii="Georgia" w:cs="Georgia" w:eastAsia="Georgia" w:hAnsi="Georgia"/>
          <w:color w:val="3A4A5C"/>
          <w:sz w:val="22"/>
          <w:szCs w:val="22"/>
        </w:rPr>
        <w:t xml:space="preserve">Market Analysis, Feasibility Assessment</w:t>
      </w:r>
    </w:p>
    <w:p>
      <w:pPr>
        <w:spacing w:after="300"/>
      </w:pPr>
    </w:p>
    <w:p>
      <w:pPr>
        <w:pBdr>
          <w:top w:val="single" w:color="C9A84C" w:sz="4" w:space="6"/>
        </w:pBdr>
        <w:spacing w:after="0"/>
        <w:jc w:val="center"/>
      </w:pPr>
    </w:p>
    <w:p>
      <w:pPr>
        <w:spacing w:after="80"/>
      </w:pPr>
    </w:p>
    <w:p>
      <w:pPr>
        <w:spacing w:after="60"/>
        <w:jc w:val="center"/>
      </w:pPr>
      <w:r>
        <w:rPr>
          <w:rFonts w:ascii="Georgia" w:cs="Georgia" w:eastAsia="Georgia" w:hAnsi="Georgia"/>
          <w:color w:val="3A4A5C"/>
          <w:sz w:val="20"/>
          <w:szCs w:val="20"/>
        </w:rPr>
        <w:t xml:space="preserve">179 Promenade du Portage, Gatineau, QC</w:t>
      </w:r>
    </w:p>
    <w:p>
      <w:pPr>
        <w:spacing w:after="300"/>
      </w:pPr>
    </w:p>
    <w:p>
      <w:pPr>
        <w:spacing w:after="40"/>
        <w:jc w:val="center"/>
      </w:pPr>
      <w:r>
        <w:rPr>
          <w:rFonts w:ascii="Georgia" w:cs="Georgia" w:eastAsia="Georgia" w:hAnsi="Georgia"/>
          <w:color w:val="3A4A5C"/>
          <w:sz w:val="16"/>
          <w:szCs w:val="16"/>
        </w:rPr>
        <w:t xml:space="preserve">Prepared by</w:t>
      </w:r>
    </w:p>
    <w:p>
      <w:pPr>
        <w:spacing w:after="40"/>
        <w:jc w:val="center"/>
      </w:pPr>
      <w:r>
        <w:rPr>
          <w:rFonts w:ascii="Georgia" w:cs="Georgia" w:eastAsia="Georgia" w:hAnsi="Georgia"/>
          <w:b/>
          <w:bCs/>
          <w:color w:val="0C1A2E"/>
          <w:sz w:val="22"/>
          <w:szCs w:val="22"/>
        </w:rPr>
        <w:t>JOSEPH SOARES, MBA, Adm.A., PMP</w:t>
        <w:br/>
        <w:t xml:space="preserve">Managing Partner</w:t>
      </w:r>
    </w:p>
    <w:p>
      <w:pPr>
        <w:spacing w:after="40"/>
        <w:jc w:val="center"/>
      </w:pPr>
      <w:r>
        <w:rPr>
          <w:rFonts w:ascii="Georgia" w:cs="Georgia" w:eastAsia="Georgia" w:hAnsi="Georgia"/>
          <w:color w:val="3A4A5C"/>
          <w:sz w:val="18"/>
          <w:szCs w:val="18"/>
        </w:rPr>
        <w:t xml:space="preserve">IBPROM Corp</w:t>
      </w:r>
    </w:p>
    <w:p>
      <w:pPr>
        <w:spacing w:after="160"/>
      </w:pPr>
    </w:p>
    <w:p>
      <w:pPr>
        <w:spacing w:after="40"/>
        <w:jc w:val="center"/>
      </w:pPr>
      <w:r>
        <w:rPr>
          <w:rFonts w:ascii="Georgia" w:cs="Georgia" w:eastAsia="Georgia" w:hAnsi="Georgia"/>
          <w:color w:val="3A4A5C"/>
          <w:sz w:val="16"/>
          <w:szCs w:val="16"/>
        </w:rPr>
        <w:t xml:space="preserve">Prepared for</w:t>
      </w:r>
    </w:p>
    <w:p>
      <w:pPr>
        <w:spacing w:after="40"/>
        <w:jc w:val="center"/>
      </w:pPr>
      <w:r>
        <w:rPr>
          <w:rFonts w:ascii="Georgia" w:cs="Georgia" w:eastAsia="Georgia" w:hAnsi="Georgia"/>
          <w:b/>
          <w:bCs/>
          <w:color w:val="0C1A2E"/>
          <w:sz w:val="22"/>
          <w:szCs w:val="22"/>
        </w:rPr>
        <w:t xml:space="preserve">DR. NADER AGHARAZI-DORMANI</w:t>
      </w:r>
    </w:p>
    <w:p>
      <w:pPr>
        <w:spacing w:after="40"/>
        <w:jc w:val="center"/>
      </w:pPr>
      <w:r>
        <w:rPr>
          <w:rFonts w:ascii="Georgia" w:cs="Georgia" w:eastAsia="Georgia" w:hAnsi="Georgia"/>
          <w:color w:val="3A4A5C"/>
          <w:sz w:val="18"/>
          <w:szCs w:val="18"/>
        </w:rPr>
        <w:t xml:space="preserve">Groupe Dormani</w:t>
      </w:r>
    </w:p>
    <w:p>
      <w:pPr>
        <w:spacing w:after="300"/>
      </w:pPr>
    </w:p>
    <w:p>
      <w:pPr>
        <w:spacing w:after="0"/>
        <w:jc w:val="center"/>
      </w:pPr>
      <w:r>
        <w:rPr>
          <w:rFonts w:ascii="Georgia" w:cs="Georgia" w:eastAsia="Georgia" w:hAnsi="Georgia"/>
          <w:color w:val="3A4A5C"/>
          <w:sz w:val="18"/>
          <w:szCs w:val="18"/>
        </w:rPr>
        <w:t xml:space="preserve">April 11, 2026</w:t>
      </w:r>
    </w:p>
    <w:p>
      <w:pPr>
        <w:sectPr>
          <w:pgSz w:w="12240" w:h="15840" w:orient="portrait"/>
          <w:pgMar w:top="0" w:right="0" w:bottom="0" w:left="0" w:header="708" w:footer="708" w:gutter="0"/>
          <w:pgNumType/>
          <w:docGrid w:linePitch="360"/>
        </w:sectPr>
      </w:pPr>
    </w:p>
    <w:p>
      <w:pPr>
        <w:pStyle w:val="Heading1"/>
        <w:pBdr>
          <w:bottom w:val="single" w:color="C9A84C" w:sz="4" w:space="4"/>
        </w:pBdr>
        <w:spacing w:after="200" w:before="360"/>
      </w:pPr>
      <w:r>
        <w:rPr>
          <w:rFonts w:ascii="Georgia" w:cs="Georgia" w:eastAsia="Georgia" w:hAnsi="Georgia"/>
          <w:b/>
          <w:bCs/>
          <w:color w:val="0C1A2E"/>
          <w:sz w:val="26"/>
          <w:szCs w:val="26"/>
        </w:rPr>
        <w:t xml:space="preserve">1. Executive Summary</w:t>
      </w:r>
    </w:p>
    <w:p>
      <w:pPr>
        <w:spacing w:after="200"/>
        <w:jc w:val="both"/>
      </w:pPr>
      <w:r>
        <w:rPr>
          <w:rFonts w:ascii="Georgia" w:cs="Georgia" w:eastAsia="Georgia" w:hAnsi="Georgia"/>
          <w:b w:val="false"/>
          <w:bCs w:val="false"/>
          <w:i w:val="false"/>
          <w:iCs w:val="false"/>
          <w:color w:val="3A4A5C"/>
          <w:sz w:val="22"/>
          <w:szCs w:val="22"/>
        </w:rPr>
        <w:t>Over the past several weeks, I have been supporting the development and commercialization of the properties at 179 and 191 Promenade du Portage. The core challenge is clear: traditional commercial leasing creates dependency on individual tenants who may leave, default, or underperform — leaving the property owner exposed to vacancy risk with limited control over outcomes. Drawing on my experience serving in the Prime Minister's Office during the 2008 global financial crisis and as Chief of Staff at the Senate of Canada, I have been developing a different approach.</w:t>
      </w:r>
    </w:p>
    <w:p>
      <w:pPr>
        <w:spacing w:after="200"/>
        <w:jc w:val="both"/>
      </w:pPr>
      <w:r>
        <w:rPr>
          <w:rFonts w:ascii="Georgia" w:cs="Georgia" w:eastAsia="Georgia" w:hAnsi="Georgia"/>
          <w:color w:val="3A4A5C"/>
          <w:sz w:val="22"/>
          <w:szCs w:val="22"/>
        </w:rPr>
        <w:t xml:space="preserve">The concept behind the Capital Corridor Campus is to build a tenant ecosystem rather than simply rent space. Instead of waiting for tenants to appear through brokers, we create them — by designing projects around institutional partnerships with established organizations such as the Cégep de l'Outaouais or the Université du Québec en Outaouais, and then installing these organizations as long-term occupants of the properties. The result is a more stable, diversified occupancy base built on institutional relationships rather than individual lease agreements. </w:t>
      </w:r>
      <w:r>
        <w:rPr>
          <w:rFonts w:ascii="Georgia" w:cs="Georgia" w:eastAsia="Georgia" w:hAnsi="Georgia"/>
          <w:b/>
          <w:bCs/>
          <w:color w:val="0C1A2E"/>
          <w:sz w:val="22"/>
          <w:szCs w:val="22"/>
        </w:rPr>
      </w:r>
      <w:r>
        <w:rPr>
          <w:rFonts w:ascii="Georgia" w:cs="Georgia" w:eastAsia="Georgia" w:hAnsi="Georgia"/>
          <w:color w:val="3A4A5C"/>
          <w:sz w:val="22"/>
          <w:szCs w:val="22"/>
        </w:rPr>
      </w:r>
    </w:p>
    <w:p>
      <w:pPr>
        <w:spacing w:after="200"/>
        <w:jc w:val="both"/>
      </w:pPr>
      <w:r>
        <w:rPr>
          <w:rFonts w:ascii="Georgia" w:cs="Georgia" w:eastAsia="Georgia" w:hAnsi="Georgia"/>
          <w:b w:val="false"/>
          <w:bCs w:val="false"/>
          <w:i w:val="false"/>
          <w:iCs w:val="false"/>
          <w:color w:val="3A4A5C"/>
          <w:sz w:val="22"/>
          <w:szCs w:val="22"/>
        </w:rPr>
        <w:t>This analysis presents the first test case of that model: converting the ground-floor space at 179 Promenade du Portage into a hybrid salon-academy — a concept that combines professional beauty services with a training school offering continuing education in hairdressing, esthetics, and related disciplines. The model generates revenue from two streams simultaneously: discounted client services performed by supervised students, and tuition fees from enrolled trainees. The model generates occupancy income from the currently vacant space while the investment required to launch can be managed through institutional partnerships and phased implementation.</w:t>
      </w:r>
    </w:p>
    <w:p>
      <w:pPr>
        <w:spacing w:after="200"/>
        <w:jc w:val="both"/>
      </w:pPr>
      <w:r>
        <w:rPr>
          <w:rFonts w:ascii="Georgia" w:cs="Georgia" w:eastAsia="Georgia" w:hAnsi="Georgia"/>
          <w:b w:val="false"/>
          <w:bCs w:val="false"/>
          <w:i w:val="false"/>
          <w:iCs w:val="false"/>
          <w:color w:val="3A4A5C"/>
          <w:sz w:val="22"/>
          <w:szCs w:val="22"/>
        </w:rPr>
        <w:t>This analysis is one component of a broader strategic review across both properties. The salon-academy is the proving ground — if the model works here, the same approach can be replicated for other vacant or underperforming spaces within the Campus. Subsequent recommendations will address additional partnership opportunities, the virtual office program, and long-term positioning of the Capital Corridor Campus as a hub for entrepreneurship, mentorship, and professional development in the heart of Gatineau.</w:t>
      </w:r>
    </w:p>
    <w:p>
      <w:pPr>
        <w:pBdr>
          <w:bottom w:val="single" w:color="C9A84C" w:sz="6" w:space="1"/>
        </w:pBdr>
        <w:spacing w:after="200" w:before="200"/>
      </w:pPr>
    </w:p>
    <w:p>
      <w:r>
        <w:br w:type="page"/>
      </w:r>
    </w:p>
    <w:p>
      <w:pPr>
        <w:pStyle w:val="Heading1"/>
        <w:pBdr>
          <w:bottom w:val="single" w:color="C9A84C" w:sz="4" w:space="4"/>
        </w:pBdr>
        <w:spacing w:after="200" w:before="360"/>
      </w:pPr>
      <w:r>
        <w:rPr>
          <w:rFonts w:ascii="Georgia" w:cs="Georgia" w:eastAsia="Georgia" w:hAnsi="Georgia"/>
          <w:b/>
          <w:bCs/>
          <w:color w:val="0C1A2E"/>
          <w:sz w:val="26"/>
          <w:szCs w:val="26"/>
        </w:rPr>
        <w:t xml:space="preserve">2. Market Context</w:t>
      </w:r>
    </w:p>
    <w:p>
      <w:pPr>
        <w:pStyle w:val="Heading2"/>
        <w:spacing w:after="160" w:before="280"/>
      </w:pPr>
      <w:r>
        <w:rPr>
          <w:rFonts w:ascii="Georgia" w:cs="Georgia" w:eastAsia="Georgia" w:hAnsi="Georgia"/>
          <w:b/>
          <w:bCs/>
          <w:color w:val="0C1A2E"/>
          <w:sz w:val="22"/>
          <w:szCs w:val="22"/>
        </w:rPr>
        <w:t xml:space="preserve">2.1 Demographic Profile — Gatineau CMA</w:t>
      </w:r>
    </w:p>
    <w:p>
      <w:pPr>
        <w:spacing w:after="200"/>
        <w:jc w:val="both"/>
      </w:pPr>
      <w:r>
        <w:rPr>
          <w:rFonts w:ascii="Georgia" w:cs="Georgia" w:eastAsia="Georgia" w:hAnsi="Georgia"/>
          <w:b w:val="false"/>
          <w:bCs w:val="false"/>
          <w:i w:val="false"/>
          <w:iCs w:val="false"/>
          <w:color w:val="3A4A5C"/>
          <w:sz w:val="22"/>
          <w:szCs w:val="22"/>
        </w:rPr>
        <w:t xml:space="preserve">The Gatineau Census Metropolitan Area (CMA) presents a favourable demographic profile for personal care services. Key data points from Statistics Canada Census 2021:</w:t>
      </w:r>
      <w:r>
        <w:rPr>
          <w:sz w:val="16"/>
          <w:vertAlign w:val="superscript"/>
        </w:rPr>
        <w:t>¹</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2672"/>
        <w:gridCol w:w="3000"/>
      </w:tblGrid>
      <w:tr>
        <w:trPr>
          <w:tblHeader/>
        </w:trPr>
        <w:tc>
          <w:tcPr>
            <w:tcW w:type="dxa" w:w="34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Indicator</w:t>
            </w:r>
          </w:p>
        </w:tc>
        <w:tc>
          <w:tcPr>
            <w:tcW w:type="dxa" w:w="26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Value</w:t>
            </w:r>
          </w:p>
        </w:tc>
        <w:tc>
          <w:tcPr>
            <w:tcW w:type="dxa" w:w="30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Source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Population (CMA)</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291,041</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Average age</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40.3 years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French-speaking</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78.3%</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English-speaking</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17.0%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Bilingual</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62.1%</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Median household income</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$92,000+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Female population 18–64</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~95,000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Census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Annual population growth</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1.2–1.5%</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Ville de Gatineau</w:t>
            </w:r>
          </w:p>
        </w:tc>
      </w:tr>
    </w:tbl>
    <w:p>
      <w:pPr>
        <w:spacing w:after="80"/>
      </w:pPr>
    </w:p>
    <w:p>
      <w:pPr>
        <w:spacing w:after="80"/>
      </w:pPr>
    </w:p>
    <w:p>
      <w:pPr>
        <w:spacing w:after="200"/>
        <w:jc w:val="both"/>
      </w:pPr>
      <w:r>
        <w:rPr>
          <w:rFonts w:ascii="Georgia" w:cs="Georgia" w:eastAsia="Georgia" w:hAnsi="Georgia"/>
          <w:b/>
          <w:bCs/>
          <w:color w:val="0C1A2E"/>
          <w:sz w:val="22"/>
          <w:szCs w:val="22"/>
        </w:rPr>
        <w:t xml:space="preserve">Significance: </w:t>
      </w:r>
      <w:r>
        <w:rPr>
          <w:rFonts w:ascii="Georgia" w:cs="Georgia" w:eastAsia="Georgia" w:hAnsi="Georgia"/>
          <w:color w:val="3A4A5C"/>
          <w:sz w:val="22"/>
          <w:szCs w:val="22"/>
        </w:rPr>
        <w:t xml:space="preserve">Gatineau’s population is young, bilingual, and has above-average household income driven by federal government employment. The female population aged 18–64 (~95,000) represents the primary addressable market for both salon services and beauty training programs. Bilingualism at 62% means a bilingual salon-academy captures the full market.</w:t>
      </w:r>
    </w:p>
    <w:p>
      <w:pPr>
        <w:pStyle w:val="Heading2"/>
        <w:spacing w:after="160" w:before="280"/>
      </w:pPr>
      <w:r>
        <w:rPr>
          <w:rFonts w:ascii="Georgia" w:cs="Georgia" w:eastAsia="Georgia" w:hAnsi="Georgia"/>
          <w:b/>
          <w:bCs/>
          <w:color w:val="0C1A2E"/>
          <w:sz w:val="22"/>
          <w:szCs w:val="22"/>
        </w:rPr>
        <w:t xml:space="preserve">2.2 Beauty Services Employment Outlook</w:t>
      </w:r>
    </w:p>
    <w:p>
      <w:pPr>
        <w:spacing w:after="200"/>
        <w:jc w:val="both"/>
      </w:pPr>
      <w:r>
        <w:rPr>
          <w:rFonts w:ascii="Georgia" w:cs="Georgia" w:eastAsia="Georgia" w:hAnsi="Georgia"/>
          <w:b w:val="false"/>
          <w:bCs w:val="false"/>
          <w:i w:val="false"/>
          <w:iCs w:val="false"/>
          <w:color w:val="3A4A5C"/>
          <w:sz w:val="22"/>
          <w:szCs w:val="22"/>
        </w:rPr>
        <w:t xml:space="preserve">Emploi-Québec classifies hairdressing and esthetics as sectors with moderate-to-favourable employment outlook for the Outaouais region (2024–2026):</w:t>
      </w:r>
      <w:r>
        <w:rPr>
          <w:sz w:val="16"/>
          <w:vertAlign w:val="superscript"/>
        </w:rPr>
        <w:t>²</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036"/>
        <w:gridCol w:w="3036"/>
      </w:tblGrid>
      <w:tr>
        <w:trPr>
          <w:tblHeader/>
        </w:trPr>
        <w:tc>
          <w:tcPr>
            <w:tcW w:type="dxa" w:w="30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Metric</w:t>
            </w:r>
          </w:p>
        </w:tc>
        <w:tc>
          <w:tcPr>
            <w:tcW w:type="dxa" w:w="3036"/>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Hairdressing</w:t>
            </w:r>
          </w:p>
        </w:tc>
        <w:tc>
          <w:tcPr>
            <w:tcW w:type="dxa" w:w="3036"/>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Esthetics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Average annual salary</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$42,519</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$46,306</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Employment outlook (Outaouais)</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Moderate</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Moderate-Favourable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Certification path</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Diplôme d'études professionnelles (DEP) (1,455 hrs) + Programme d'apprentissage en milieu de travail (PAMT)</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DEP (900 hrs) + PAMT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Demand driver</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Replacement + population growth</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Wellness trend + medical esthetics</w:t>
            </w:r>
          </w:p>
        </w:tc>
      </w:tr>
    </w:tbl>
    <w:p>
      <w:pPr>
        <w:spacing w:after="80"/>
      </w:pPr>
    </w:p>
    <w:p>
      <w:pPr>
        <w:spacing w:after="80"/>
      </w:pPr>
    </w:p>
    <w:p>
      <w:pPr>
        <w:spacing w:after="200"/>
        <w:jc w:val="both"/>
      </w:pPr>
      <w:r>
        <w:rPr>
          <w:rFonts w:ascii="Georgia" w:cs="Georgia" w:eastAsia="Georgia" w:hAnsi="Georgia"/>
          <w:b w:val="false"/>
          <w:bCs w:val="false"/>
          <w:i w:val="false"/>
          <w:iCs w:val="false"/>
          <w:color w:val="3A4A5C"/>
          <w:sz w:val="22"/>
          <w:szCs w:val="22"/>
        </w:rPr>
        <w:t xml:space="preserve">The esthetics sector is experiencing stronger growth than hairdressing, driven by increasing demand for medical esthetics, laser treatments, and wellness services. This supports a hybrid model that emphasizes esthetics training alongside hairdressing.</w:t>
      </w:r>
    </w:p>
    <w:p>
      <w:pPr>
        <w:pStyle w:val="Heading2"/>
        <w:spacing w:after="160" w:before="280"/>
      </w:pPr>
      <w:r>
        <w:rPr>
          <w:rFonts w:ascii="Georgia" w:cs="Georgia" w:eastAsia="Georgia" w:hAnsi="Georgia"/>
          <w:b/>
          <w:bCs/>
          <w:color w:val="0C1A2E"/>
          <w:sz w:val="22"/>
          <w:szCs w:val="22"/>
        </w:rPr>
        <w:t xml:space="preserve">2.3 Competitive Landscape — Gatineau/Ottawa</w:t>
      </w:r>
    </w:p>
    <w:p>
      <w:pPr>
        <w:spacing w:after="200"/>
        <w:jc w:val="both"/>
      </w:pPr>
      <w:r>
        <w:rPr>
          <w:rFonts w:ascii="Georgia" w:cs="Georgia" w:eastAsia="Georgia" w:hAnsi="Georgia"/>
          <w:b w:val="false"/>
          <w:bCs w:val="false"/>
          <w:i w:val="false"/>
          <w:iCs w:val="false"/>
          <w:color w:val="3A4A5C"/>
          <w:sz w:val="22"/>
          <w:szCs w:val="22"/>
        </w:rPr>
        <w:t xml:space="preserve">The competitive environment reveals a significant gap: no hybrid salon-academy currently operates in the Gatineau downtown core. Existing competitors fall into two distinct categories — pure salons and pure schools — with no overlap.</w:t>
      </w:r>
    </w:p>
    <w:p>
      <w:pPr>
        <w:pStyle w:val="Heading3"/>
        <w:spacing w:after="120" w:before="200"/>
      </w:pPr>
      <w:r>
        <w:rPr>
          <w:rFonts w:ascii="Georgia" w:cs="Georgia" w:eastAsia="Georgia" w:hAnsi="Georgia"/>
          <w:b/>
          <w:bCs/>
          <w:color w:val="3A4A5C"/>
          <w:sz w:val="20"/>
          <w:szCs w:val="20"/>
        </w:rPr>
        <w:t xml:space="preserve">Existing Training Institutions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072"/>
        <w:gridCol w:w="2400"/>
        <w:gridCol w:w="2400"/>
      </w:tblGrid>
      <w:tr>
        <w:trPr>
          <w:tblHeader/>
        </w:trPr>
        <w:tc>
          <w:tcPr>
            <w:tcW w:type="dxa" w:w="2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Institution</w:t>
            </w:r>
          </w:p>
        </w:tc>
        <w:tc>
          <w:tcPr>
            <w:tcW w:type="dxa" w:w="2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Location</w:t>
            </w:r>
          </w:p>
        </w:tc>
        <w:tc>
          <w:tcPr>
            <w:tcW w:type="dxa" w:w="24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Programs</w:t>
            </w:r>
          </w:p>
        </w:tc>
        <w:tc>
          <w:tcPr>
            <w:tcW w:type="dxa" w:w="24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Tuition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CFP Compétences Outaouais</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 (Hull sector)</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DEP Hairdressing, DEP Esthetics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$27,198 (14 months)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Académie Edith Serei</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Continuing education, esthetics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~$3,000–$6,000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Versailles Academy</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Ottawa</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Hairdressing, esthetics, barbering</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$6,500–$10,000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St-Laurent Académie</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Montréal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Esthetics (6-month intensive)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$5,404</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Canadian Beauty College</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Ottawa area</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Multiple programs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$6,500–$12,000</w:t>
            </w:r>
          </w:p>
        </w:tc>
      </w:tr>
    </w:tbl>
    <w:p>
      <w:pPr>
        <w:spacing w:after="80"/>
      </w:pPr>
    </w:p>
    <w:p>
      <w:pPr>
        <w:pStyle w:val="Heading3"/>
        <w:spacing w:after="120" w:before="200"/>
      </w:pPr>
      <w:r>
        <w:rPr>
          <w:rFonts w:ascii="Georgia" w:cs="Georgia" w:eastAsia="Georgia" w:hAnsi="Georgia"/>
          <w:b/>
          <w:bCs/>
          <w:color w:val="3A4A5C"/>
          <w:sz w:val="20"/>
          <w:szCs w:val="20"/>
        </w:rPr>
        <w:t xml:space="preserve">Key Salons Near 179 Promenade du Portage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3072"/>
        <w:gridCol w:w="3500"/>
      </w:tblGrid>
      <w:tr>
        <w:trPr>
          <w:tblHeader/>
        </w:trPr>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Salon</w:t>
            </w:r>
          </w:p>
        </w:tc>
        <w:tc>
          <w:tcPr>
            <w:tcW w:type="dxa" w:w="3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Location</w:t>
            </w:r>
          </w:p>
        </w:tc>
        <w:tc>
          <w:tcPr>
            <w:tcW w:type="dxa" w:w="3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Services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Salon Arthur</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Place du Portage (adjacent)</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Full-service salon in government complex</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Studio 157</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348 Main St / 10 allée de Hambourg</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Urban spa: esthetics, massage, injectables, laser</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Makiage &amp; Koiffure</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Hair, makeup, esthetics, endermology, barbering</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Figaro Figar-Elle</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Traditional salon services</w:t>
            </w:r>
          </w:p>
        </w:tc>
      </w:tr>
    </w:tbl>
    <w:p>
      <w:pPr>
        <w:spacing w:after="80"/>
      </w:pPr>
    </w:p>
    <w:p>
      <w:pPr>
        <w:spacing w:after="200"/>
        <w:jc w:val="both"/>
      </w:pPr>
      <w:r>
        <w:rPr>
          <w:rFonts w:ascii="Georgia" w:cs="Georgia" w:eastAsia="Georgia" w:hAnsi="Georgia"/>
          <w:b/>
          <w:bCs/>
          <w:color w:val="0C1A2E"/>
          <w:sz w:val="22"/>
          <w:szCs w:val="22"/>
        </w:rPr>
        <w:t xml:space="preserve">Market gap identified: </w:t>
      </w:r>
      <w:r>
        <w:rPr>
          <w:rFonts w:ascii="Georgia" w:cs="Georgia" w:eastAsia="Georgia" w:hAnsi="Georgia"/>
          <w:color w:val="3A4A5C"/>
          <w:sz w:val="22"/>
          <w:szCs w:val="22"/>
        </w:rPr>
        <w:t xml:space="preserve">No competitor in the Gatineau downtown core combines training with client services under one roof. The hybrid model would be a first-of-its-kind in the Promenade du Portage corridor.</w:t>
      </w:r>
    </w:p>
    <w:p>
      <w:pPr>
        <w:pStyle w:val="Heading2"/>
        <w:pageBreakBefore/>
        <w:spacing w:after="160" w:before="280"/>
      </w:pPr>
      <w:r>
        <w:rPr>
          <w:rFonts w:ascii="Georgia" w:cs="Georgia" w:eastAsia="Georgia" w:hAnsi="Georgia"/>
          <w:b/>
          <w:bCs/>
          <w:color w:val="0C1A2E"/>
          <w:sz w:val="22"/>
          <w:szCs w:val="22"/>
        </w:rPr>
        <w:t xml:space="preserve">2.4 Downtown Economic Context — Federal Workforce and Recovery</w:t>
      </w:r>
    </w:p>
    <w:p>
      <w:pPr>
        <w:spacing w:after="200"/>
        <w:jc w:val="both"/>
      </w:pPr>
      <w:r>
        <w:rPr>
          <w:rFonts w:ascii="Georgia" w:cs="Georgia" w:eastAsia="Georgia" w:hAnsi="Georgia"/>
          <w:b w:val="false"/>
          <w:bCs w:val="false"/>
          <w:i w:val="false"/>
          <w:iCs w:val="false"/>
          <w:color w:val="3A4A5C"/>
          <w:sz w:val="22"/>
          <w:szCs w:val="22"/>
        </w:rPr>
        <w:t xml:space="preserve">Downtown Gatineau has experienced significant economic disruption over the past eight years, directly affecting commercial occupancy and tenant viability. Understanding this context is essential to recognizing the strategic timing of the hybrid salon-academy launch.</w:t>
      </w:r>
    </w:p>
    <w:p>
      <w:pPr>
        <w:spacing w:after="200"/>
        <w:jc w:val="both"/>
      </w:pPr>
      <w:r>
        <w:rPr>
          <w:rFonts w:ascii="Georgia" w:cs="Georgia" w:eastAsia="Georgia" w:hAnsi="Georgia"/>
          <w:b w:val="false"/>
          <w:bCs w:val="false"/>
          <w:color w:val="3A4A5C"/>
          <w:sz w:val="22"/>
          <w:szCs w:val="22"/>
        </w:rPr>
        <w:t>The Gatineau downtown core lost approximately 60% of its federal workforce between 2016 and 2021, declining from 36,000 to 14,460 workers. This collapse was driven by two factors: (1) federal government work-from-home policies initiated during COVID-19, and (2) the Place du Portage III renovation project (2018–2028) managed by Public Services and Procurement Canada (PSPC), which has progressively reduced available office space and forced tenant relocations.</w:t>
      </w:r>
    </w:p>
    <w:p>
      <w:pPr>
        <w:spacing w:after="200"/>
        <w:jc w:val="both"/>
      </w:pPr>
      <w:r>
        <w:rPr>
          <w:rFonts w:ascii="Georgia" w:cs="Georgia" w:eastAsia="Georgia" w:hAnsi="Georgia"/>
          <w:b w:val="false"/>
          <w:bCs w:val="false"/>
          <w:i w:val="false"/>
          <w:iCs w:val="false"/>
          <w:color w:val="3A4A5C"/>
          <w:sz w:val="22"/>
          <w:szCs w:val="22"/>
        </w:rPr>
        <w:t xml:space="preserve">The economic consequence was severe. Commercial properties in the Promenade du Portage corridor experienced declining occupancy, reduced foot traffic, and lower tenant retention. This is not a market failure of the corridor itself — it is a structural consequence of federal policy and construction.</w:t>
      </w:r>
    </w:p>
    <w:p>
      <w:pPr>
        <w:spacing w:after="200"/>
        <w:jc w:val="both"/>
      </w:pPr>
      <w:r>
        <w:rPr>
          <w:rFonts w:ascii="Georgia" w:cs="Georgia" w:eastAsia="Georgia" w:hAnsi="Georgia"/>
          <w:b w:val="false"/>
          <w:bCs w:val="false"/>
          <w:i w:val="false"/>
          <w:iCs w:val="false"/>
          <w:color w:val="3A4A5C"/>
          <w:sz w:val="22"/>
          <w:szCs w:val="22"/>
        </w:rPr>
        <w:t xml:space="preserve">However, this situation is rapidly reversing. On May 16, 2024, the Government of Canada issued the Direction on Prescribed Presence in the Workplace (Treasury Board, Secretariat), which mandates minimum in-office presence of three days per week for all public servants, effective September 9, 2024. Additionally, the Treasury Board Direction states that all public service executives must be present in-office a minimum of four days per week. A February 2026 Canadian Press report indicated that Treasury Board is preparing to escalate this requirement to four days per week for all federal employees in July 2026.</w:t>
      </w:r>
      <w:r>
        <w:rPr>
          <w:sz w:val="16"/>
          <w:vertAlign w:val="superscript"/>
        </w:rPr>
        <w:t>³</w:t>
      </w:r>
    </w:p>
    <w:p>
      <w:pPr>
        <w:spacing w:after="200"/>
        <w:jc w:val="both"/>
      </w:pPr>
      <w:r>
        <w:rPr>
          <w:rFonts w:ascii="Georgia" w:cs="Georgia" w:eastAsia="Georgia" w:hAnsi="Georgia"/>
          <w:b w:val="false"/>
          <w:bCs w:val="false"/>
          <w:i w:val="false"/>
          <w:iCs w:val="false"/>
          <w:color w:val="3A4A5C"/>
          <w:sz w:val="22"/>
          <w:szCs w:val="22"/>
        </w:rPr>
        <w:t xml:space="preserve">The Place du Portage III renewal is also reaching its completion phases. PSPC’s capital renewal project will conclude through 2025–2028, with reoccupancy beginning in late 2026 and accelerating through 2027–2028. This timing aligns precisely with the escalated in-office requirements, creating a convergence of returning federal workers and newly renewed office space.</w:t>
      </w:r>
      <w:r>
        <w:rPr>
          <w:sz w:val="16"/>
          <w:vertAlign w:val="superscript"/>
        </w:rPr>
        <w:t>⁴</w:t>
      </w:r>
    </w:p>
    <w:p>
      <w:pPr>
        <w:spacing w:after="200"/>
        <w:jc w:val="both"/>
      </w:pPr>
      <w:r>
        <w:rPr>
          <w:rFonts w:ascii="Georgia" w:cs="Georgia" w:eastAsia="Georgia" w:hAnsi="Georgia"/>
          <w:b w:val="false"/>
          <w:bCs w:val="false"/>
          <w:i w:val="false"/>
          <w:iCs w:val="false"/>
          <w:color w:val="3A4A5C"/>
          <w:sz w:val="22"/>
          <w:szCs w:val="22"/>
        </w:rPr>
        <w:t xml:space="preserve">Strategic timing advantage: The hybrid salon-academy launches precisely as the federal workforce returns to the downtown core. This is not a risk factor — it is a significant competitive advantage. A returning population of approximately 20,000–25,000 federal employees (conservative projection based on the recovery direction) represents a built-in, recurring client base for discounted professional services within walking distance of their offices. The demographic data presented in Section 2.1 will compound as the federal workforce stabilizes in the Promenade du Portage corridor.</w:t>
      </w:r>
    </w:p>
    <w:p>
      <w:pPr>
        <w:pBdr>
          <w:bottom w:val="single" w:color="C9A84C" w:sz="6" w:space="1"/>
        </w:pBdr>
        <w:spacing w:after="200" w:before="200"/>
      </w:pPr>
    </w:p>
    <w:p>
      <w:pPr>
        <w:pBdr>
          <w:bottom w:val="single" w:color="C9A84C" w:sz="6" w:space="1"/>
        </w:pBdr>
        <w:spacing w:after="200" w:before="200"/>
      </w:pPr>
    </w:p>
    <w:p>
      <w:r>
        <w:br w:type="page"/>
      </w:r>
    </w:p>
    <w:p>
      <w:pPr>
        <w:pStyle w:val="Heading1"/>
        <w:pBdr>
          <w:bottom w:val="single" w:color="C9A84C" w:sz="4" w:space="4"/>
        </w:pBdr>
        <w:spacing w:after="200" w:before="360"/>
      </w:pPr>
      <w:r>
        <w:rPr>
          <w:rFonts w:ascii="Georgia" w:cs="Georgia" w:eastAsia="Georgia" w:hAnsi="Georgia"/>
          <w:b/>
          <w:bCs/>
          <w:color w:val="0C1A2E"/>
          <w:sz w:val="26"/>
          <w:szCs w:val="26"/>
        </w:rPr>
        <w:t xml:space="preserve">3. The Hybrid Model</w:t>
      </w:r>
    </w:p>
    <w:p>
      <w:pPr>
        <w:spacing w:after="200"/>
        <w:jc w:val="both"/>
      </w:pPr>
      <w:r>
        <w:rPr>
          <w:rFonts w:ascii="Georgia" w:cs="Georgia" w:eastAsia="Georgia" w:hAnsi="Georgia"/>
          <w:b w:val="false"/>
          <w:bCs w:val="false"/>
          <w:i w:val="false"/>
          <w:iCs w:val="false"/>
          <w:color w:val="3A4A5C"/>
          <w:sz w:val="22"/>
          <w:szCs w:val="22"/>
        </w:rPr>
        <w:t xml:space="preserve">The hybrid salon-academy operates on a principle proven in markets worldwide: supervised students deliver professional services to the public at discounted rates (typically 30–50% below market), while paying tuition for the privilege of gaining real-client experience. The operator generates revenue from both sides of the transaction. The confirmed ground-floor footprint of approximately 1,200 square feet supports 4–6 working stations — a compact but viable configuration for a training academy with 6–8 students per cycle.</w:t>
      </w:r>
    </w:p>
    <w:p>
      <w:pPr>
        <w:pStyle w:val="Heading2"/>
        <w:spacing w:after="160" w:before="280"/>
      </w:pPr>
      <w:r>
        <w:rPr>
          <w:rFonts w:ascii="Georgia" w:cs="Georgia" w:eastAsia="Georgia" w:hAnsi="Georgia"/>
          <w:b/>
          <w:bCs/>
          <w:color w:val="0C1A2E"/>
          <w:sz w:val="22"/>
          <w:szCs w:val="22"/>
        </w:rPr>
        <w:t xml:space="preserve">3.1 Revenue Model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3872"/>
        <w:gridCol w:w="2600"/>
      </w:tblGrid>
      <w:tr>
        <w:trPr>
          <w:tblHeader/>
        </w:trPr>
        <w:tc>
          <w:tcPr>
            <w:tcW w:type="dxa" w:w="2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Revenue Stream</w:t>
            </w:r>
          </w:p>
        </w:tc>
        <w:tc>
          <w:tcPr>
            <w:tcW w:type="dxa" w:w="38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Description</w:t>
            </w:r>
          </w:p>
        </w:tc>
        <w:tc>
          <w:tcPr>
            <w:tcW w:type="dxa" w:w="2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Annual Estimate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Student tuition (6–8 students)</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Continuing education programs: 3–6 month cycles at $3,500–$5,500/student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$42,000–$88,000</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Client services (discounted)</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Supervised student services at 30–50% below market rate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$36,000–$54,000</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Product sales</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Professional beauty products sold to clients and students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$8,000–$16,000</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Advanced workshops</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Weekend intensives: medical esthetics, bridal, specialized techniques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$6,000–$12,000</w:t>
            </w:r>
          </w:p>
        </w:tc>
      </w:tr>
    </w:tbl>
    <w:p>
      <w:pPr>
        <w:spacing w:after="80"/>
      </w:pPr>
    </w:p>
    <w:p>
      <w:pPr>
        <w:spacing w:after="200"/>
        <w:jc w:val="both"/>
      </w:pPr>
      <w:r>
        <w:rPr>
          <w:rFonts w:ascii="Georgia" w:cs="Georgia" w:eastAsia="Georgia" w:hAnsi="Georgia"/>
          <w:b/>
          <w:bCs/>
          <w:color w:val="0C1A2E"/>
          <w:sz w:val="22"/>
          <w:szCs w:val="22"/>
        </w:rPr>
        <w:t xml:space="preserve">Total projected annual revenue: $92,000–$170,000</w:t>
      </w:r>
    </w:p>
    <w:p>
      <w:pPr>
        <w:spacing w:after="80"/>
      </w:pPr>
    </w:p>
    <w:p>
      <w:pPr>
        <w:spacing w:after="200"/>
        <w:jc w:val="both"/>
      </w:pPr>
      <w:r>
        <w:rPr>
          <w:rFonts w:ascii="Georgia" w:cs="Georgia" w:eastAsia="Georgia" w:hAnsi="Georgia"/>
          <w:b w:val="false"/>
          <w:bCs w:val="false"/>
          <w:i w:val="false"/>
          <w:iCs w:val="false"/>
          <w:color w:val="3A4A5C"/>
          <w:sz w:val="22"/>
          <w:szCs w:val="22"/>
        </w:rPr>
        <w:t xml:space="preserve">Revenue model calculation methodology:</w:t>
      </w:r>
    </w:p>
    <w:p>
      <w:pPr>
        <w:pStyle w:val="ListParagraph"/>
        <w:numPr>
          <w:ilvl w:val="0"/>
          <w:numId w:val="2"/>
        </w:numPr>
        <w:spacing w:after="100"/>
      </w:pPr>
      <w:r>
        <w:rPr>
          <w:rFonts w:ascii="Georgia" w:cs="Georgia" w:eastAsia="Georgia" w:hAnsi="Georgia"/>
          <w:color w:val="3A4A5C"/>
          <w:sz w:val="22"/>
          <w:szCs w:val="22"/>
        </w:rPr>
        <w:t xml:space="preserve">Student tuition: Based on comparable continuing education programs in the region. CFP Compétences Outaouais Diplôme d'études professionnelles (DEP) charged $27,198 for 14 months; private academies in Ottawa and Gatineau charge $3,500–$10,000 for shorter programs. Conservative calculation: 6–8 students × 2 cycles per year × $3,500–$5,500 = $42,000–$88,000 annually.</w:t>
      </w:r>
    </w:p>
    <w:p>
      <w:pPr>
        <w:pStyle w:val="ListParagraph"/>
        <w:numPr>
          <w:ilvl w:val="0"/>
          <w:numId w:val="2"/>
        </w:numPr>
        <w:spacing w:after="100"/>
      </w:pPr>
      <w:r>
        <w:rPr>
          <w:rFonts w:ascii="Georgia" w:cs="Georgia" w:eastAsia="Georgia" w:hAnsi="Georgia"/>
          <w:color w:val="3A4A5C"/>
          <w:sz w:val="22"/>
          <w:szCs w:val="22"/>
        </w:rPr>
        <w:t xml:space="preserve">Client services: Based on average ticket of $25–35 per service, 6–8 clients per day, 250 operating days per year. Low estimate: 6 clients × $25 × 240 days = $36,000. High estimate: 8 clients × $27 × 250 days = $54,000.</w:t>
      </w:r>
    </w:p>
    <w:p>
      <w:pPr>
        <w:pStyle w:val="ListParagraph"/>
        <w:numPr>
          <w:ilvl w:val="0"/>
          <w:numId w:val="2"/>
        </w:numPr>
        <w:spacing w:after="100"/>
      </w:pPr>
      <w:r>
        <w:rPr>
          <w:rFonts w:ascii="Georgia" w:cs="Georgia" w:eastAsia="Georgia" w:hAnsi="Georgia"/>
          <w:color w:val="3A4A5C"/>
          <w:sz w:val="22"/>
          <w:szCs w:val="22"/>
        </w:rPr>
        <w:t xml:space="preserve">Product sales: Industry benchmark of 8–12% retail-to-service ratio (Professional Beauty Association standards), applied to conservative and high-volume service projections.</w:t>
      </w:r>
    </w:p>
    <w:p>
      <w:pPr>
        <w:pStyle w:val="ListParagraph"/>
        <w:numPr>
          <w:ilvl w:val="0"/>
          <w:numId w:val="2"/>
        </w:numPr>
        <w:spacing w:after="100"/>
      </w:pPr>
      <w:r>
        <w:rPr>
          <w:rFonts w:ascii="Georgia" w:cs="Georgia" w:eastAsia="Georgia" w:hAnsi="Georgia"/>
          <w:color w:val="3A4A5C"/>
          <w:sz w:val="22"/>
          <w:szCs w:val="22"/>
        </w:rPr>
        <w:t xml:space="preserve">Workshops: Estimated 4–6 weekend intensives per year at $1,500–$2,000 per session, based on market pricing for specialized beauty training modules in the National Capital Region.</w:t>
      </w:r>
    </w:p>
    <w:p>
      <w:pPr>
        <w:pStyle w:val="Heading2"/>
        <w:spacing w:after="160" w:before="280"/>
      </w:pPr>
      <w:r>
        <w:rPr>
          <w:rFonts w:ascii="Georgia" w:cs="Georgia" w:eastAsia="Georgia" w:hAnsi="Georgia"/>
          <w:b/>
          <w:bCs/>
          <w:color w:val="0C1A2E"/>
          <w:sz w:val="22"/>
          <w:szCs w:val="22"/>
        </w:rPr>
        <w:t xml:space="preserve">3.2 Cost Model (Based on $4,800/month all-inclusive rent)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72"/>
        <w:gridCol w:w="3300"/>
      </w:tblGrid>
      <w:tr>
        <w:trPr>
          <w:tblHeader/>
        </w:trPr>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Expense</w:t>
            </w:r>
          </w:p>
        </w:tc>
        <w:tc>
          <w:tcPr>
            <w:tcW w:type="dxa" w:w="1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Monthly</w:t>
            </w:r>
          </w:p>
        </w:tc>
        <w:tc>
          <w:tcPr>
            <w:tcW w:type="dxa" w:w="16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Annual</w:t>
            </w:r>
          </w:p>
        </w:tc>
        <w:tc>
          <w:tcPr>
            <w:tcW w:type="dxa" w:w="33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Rent (all-inclusive)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$4,800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$57,600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Current lease terms, heat included</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Instructor salary (1 full-time (FT))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$3,800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$45,600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Licensed hairdresser/esthetician</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Part-time (PT) support (1 PT)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$1,500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$18,000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Admin + reception</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Supplies and products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$900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$10,800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Professional products, disposables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Insurance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$350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$4,200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General liability + Errors and Omissions (E&amp;O)</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Marketing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$400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$4,800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Digital marketing, local advertising</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Equipment lease/maintenance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$400</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$4,800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4–6 stations, equipment upkeep</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Contingency (5%)</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$575</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$6,900</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Unforeseen expenses</w:t>
            </w:r>
          </w:p>
        </w:tc>
      </w:tr>
    </w:tbl>
    <w:p>
      <w:pPr>
        <w:spacing w:after="80"/>
      </w:pPr>
    </w:p>
    <w:p>
      <w:pPr>
        <w:spacing w:after="200"/>
        <w:jc w:val="both"/>
      </w:pPr>
      <w:r>
        <w:rPr>
          <w:rFonts w:ascii="Georgia" w:cs="Georgia" w:eastAsia="Georgia" w:hAnsi="Georgia"/>
          <w:b/>
          <w:bCs/>
          <w:color w:val="0C1A2E"/>
          <w:sz w:val="22"/>
          <w:szCs w:val="22"/>
        </w:rPr>
        <w:t xml:space="preserve">Total estimated annual operating cost: $148,500</w:t>
      </w:r>
    </w:p>
    <w:p>
      <w:pPr>
        <w:spacing w:after="80"/>
      </w:pPr>
    </w:p>
    <w:p>
      <w:pPr>
        <w:spacing w:after="200"/>
        <w:jc w:val="both"/>
      </w:pPr>
      <w:r>
        <w:rPr>
          <w:rFonts w:ascii="Georgia" w:cs="Georgia" w:eastAsia="Georgia" w:hAnsi="Georgia"/>
          <w:b w:val="false"/>
          <w:bCs w:val="false"/>
          <w:i w:val="false"/>
          <w:iCs w:val="false"/>
          <w:color w:val="3A4A5C"/>
          <w:sz w:val="22"/>
          <w:szCs w:val="22"/>
        </w:rPr>
        <w:t xml:space="preserve">Cost model calculation basis:</w:t>
      </w:r>
    </w:p>
    <w:p>
      <w:pPr>
        <w:pStyle w:val="ListParagraph"/>
        <w:numPr>
          <w:ilvl w:val="0"/>
          <w:numId w:val="2"/>
        </w:numPr>
        <w:spacing w:after="100"/>
      </w:pPr>
      <w:r>
        <w:rPr>
          <w:rFonts w:ascii="Georgia" w:cs="Georgia" w:eastAsia="Georgia" w:hAnsi="Georgia"/>
          <w:color w:val="3A4A5C"/>
          <w:sz w:val="22"/>
          <w:szCs w:val="22"/>
        </w:rPr>
        <w:t xml:space="preserve">Instructor salary: Based on Emploi-Québec median wage data for licensed hairdressers and estheticians in the Outaouais region. At $45,600 annually, this reflects the market rate required to attract and retain qualified, bilingual practitioners in Gatineau.</w:t>
      </w:r>
    </w:p>
    <w:p>
      <w:pPr>
        <w:pStyle w:val="ListParagraph"/>
        <w:numPr>
          <w:ilvl w:val="0"/>
          <w:numId w:val="2"/>
        </w:numPr>
        <w:spacing w:after="100"/>
      </w:pPr>
      <w:r>
        <w:rPr>
          <w:rFonts w:ascii="Georgia" w:cs="Georgia" w:eastAsia="Georgia" w:hAnsi="Georgia"/>
          <w:color w:val="3A4A5C"/>
          <w:sz w:val="22"/>
          <w:szCs w:val="22"/>
        </w:rPr>
        <w:t xml:space="preserve">Rent: Reflects current lease terms as confirmed by Dr. Dormani. The $4,800/month figure includes heat and building services.</w:t>
      </w:r>
    </w:p>
    <w:p>
      <w:pPr>
        <w:pStyle w:val="ListParagraph"/>
        <w:numPr>
          <w:ilvl w:val="0"/>
          <w:numId w:val="2"/>
        </w:numPr>
        <w:spacing w:after="100"/>
      </w:pPr>
      <w:r>
        <w:rPr>
          <w:rFonts w:ascii="Georgia" w:cs="Georgia" w:eastAsia="Georgia" w:hAnsi="Georgia"/>
          <w:color w:val="3A4A5C"/>
          <w:sz w:val="22"/>
          <w:szCs w:val="22"/>
        </w:rPr>
        <w:t xml:space="preserve">All other line items: Current market rates for comparable salon-academy operations in the National Capital Region.</w:t>
      </w:r>
    </w:p>
    <w:p>
      <w:pPr>
        <w:spacing w:after="80"/>
      </w:pPr>
    </w:p>
    <w:p>
      <w:r>
        <w:br w:type="page"/>
      </w:r>
    </w:p>
    <w:p>
      <w:pPr>
        <w:spacing w:after="200"/>
        <w:jc w:val="both"/>
      </w:pPr>
      <w:r>
        <w:rPr>
          <w:rFonts w:ascii="Georgia" w:cs="Georgia" w:eastAsia="Georgia" w:hAnsi="Georgia"/>
          <w:b/>
          <w:bCs/>
          <w:color w:val="0C1A2E"/>
          <w:sz w:val="22"/>
          <w:szCs w:val="22"/>
        </w:rPr>
        <w:t xml:space="preserve">Breakeven: </w:t>
      </w:r>
      <w:r>
        <w:rPr>
          <w:rFonts w:ascii="Georgia" w:cs="Georgia" w:eastAsia="Georgia" w:hAnsi="Georgia"/>
          <w:color w:val="3A4A5C"/>
          <w:sz w:val="22"/>
          <w:szCs w:val="22"/>
        </w:rPr>
        <w:t>The model breaks even at approximately 6 students per cycle with modest client traffic. At full capacity (8 students, steady client flow), projected Net Operating Income (NOI) reaches $20,000–$40,000 annually.</w:t>
      </w:r>
    </w:p>
    <w:p>
      <w:pPr>
        <w:pStyle w:val="Heading2"/>
        <w:spacing w:after="160" w:before="280"/>
      </w:pPr>
      <w:r>
        <w:rPr>
          <w:rFonts w:ascii="Georgia" w:cs="Georgia" w:eastAsia="Georgia" w:hAnsi="Georgia"/>
          <w:b/>
          <w:bCs/>
          <w:color w:val="0C1A2E"/>
          <w:sz w:val="22"/>
          <w:szCs w:val="22"/>
        </w:rPr>
        <w:t xml:space="preserve">3.3 Value Proposition for Clients</w:t>
      </w:r>
    </w:p>
    <w:p>
      <w:pPr>
        <w:pStyle w:val="ListParagraph"/>
        <w:numPr>
          <w:ilvl w:val="0"/>
          <w:numId w:val="2"/>
        </w:numPr>
        <w:spacing w:after="100"/>
      </w:pPr>
      <w:r>
        <w:rPr>
          <w:rFonts w:ascii="Georgia" w:cs="Georgia" w:eastAsia="Georgia" w:hAnsi="Georgia"/>
          <w:color w:val="3A4A5C"/>
          <w:sz w:val="22"/>
          <w:szCs w:val="22"/>
        </w:rPr>
        <w:t xml:space="preserve">Professional haircuts at $15–25 (vs. $35–60 at market rate salons)</w:t>
      </w:r>
    </w:p>
    <w:p>
      <w:pPr>
        <w:pStyle w:val="ListParagraph"/>
        <w:numPr>
          <w:ilvl w:val="0"/>
          <w:numId w:val="2"/>
        </w:numPr>
        <w:spacing w:after="100"/>
      </w:pPr>
      <w:r>
        <w:rPr>
          <w:rFonts w:ascii="Georgia" w:cs="Georgia" w:eastAsia="Georgia" w:hAnsi="Georgia"/>
          <w:color w:val="3A4A5C"/>
          <w:sz w:val="22"/>
          <w:szCs w:val="22"/>
        </w:rPr>
        <w:t xml:space="preserve">Facial treatments at $30–45 (vs. $65–$120 at spas like Studio 157)</w:t>
      </w:r>
    </w:p>
    <w:p>
      <w:pPr>
        <w:pStyle w:val="ListParagraph"/>
        <w:numPr>
          <w:ilvl w:val="0"/>
          <w:numId w:val="2"/>
        </w:numPr>
        <w:spacing w:after="100"/>
      </w:pPr>
      <w:r>
        <w:rPr>
          <w:rFonts w:ascii="Georgia" w:cs="Georgia" w:eastAsia="Georgia" w:hAnsi="Georgia"/>
          <w:color w:val="3A4A5C"/>
          <w:sz w:val="22"/>
          <w:szCs w:val="22"/>
        </w:rPr>
        <w:t xml:space="preserve">All services supervised by a licensed professional</w:t>
      </w:r>
    </w:p>
    <w:p>
      <w:pPr>
        <w:pStyle w:val="ListParagraph"/>
        <w:numPr>
          <w:ilvl w:val="0"/>
          <w:numId w:val="2"/>
        </w:numPr>
        <w:spacing w:after="100"/>
      </w:pPr>
      <w:r>
        <w:rPr>
          <w:rFonts w:ascii="Georgia" w:cs="Georgia" w:eastAsia="Georgia" w:hAnsi="Georgia"/>
          <w:color w:val="3A4A5C"/>
          <w:sz w:val="22"/>
          <w:szCs w:val="22"/>
        </w:rPr>
        <w:t xml:space="preserve">Bilingual service in English and French</w:t>
      </w:r>
    </w:p>
    <w:p>
      <w:pPr>
        <w:pStyle w:val="ListParagraph"/>
        <w:numPr>
          <w:ilvl w:val="0"/>
          <w:numId w:val="2"/>
        </w:numPr>
        <w:spacing w:after="100"/>
      </w:pPr>
      <w:r>
        <w:rPr>
          <w:rFonts w:ascii="Georgia" w:cs="Georgia" w:eastAsia="Georgia" w:hAnsi="Georgia"/>
          <w:color w:val="3A4A5C"/>
          <w:sz w:val="22"/>
          <w:szCs w:val="22"/>
        </w:rPr>
        <w:t xml:space="preserve">Downtown location accessible by Société de transport de l'Outaouais (STO) transit and Rapibus</w:t>
      </w:r>
    </w:p>
    <w:p>
      <w:pPr>
        <w:spacing w:after="200"/>
        <w:jc w:val="both"/>
      </w:pPr>
      <w:r>
        <w:rPr>
          <w:rFonts w:ascii="Georgia" w:cs="Georgia" w:eastAsia="Georgia" w:hAnsi="Georgia"/>
          <w:b w:val="false"/>
          <w:bCs w:val="false"/>
          <w:i w:val="false"/>
          <w:iCs w:val="false"/>
          <w:color w:val="3A4A5C"/>
          <w:sz w:val="22"/>
          <w:szCs w:val="22"/>
        </w:rPr>
        <w:t xml:space="preserve">The Promenade du Portage corridor has faced significant commercial disruption over the past several years, driven by federal government work-from-home policies and major building renovations in the Place du Portage complex. Downtown Gatineau lost approximately 60% of its federal workforce between 2016 and 2021. However, the Government of Canada’s Direction on Prescribed Presence in the Workplace — mandating minimum three days per week in-office since September 2024, escalating to four days per week in July 2026 — is reversing this trend. The salon-academy launches into a recovering market with a built-in, returning client base.</w:t>
      </w:r>
    </w:p>
    <w:p>
      <w:pPr>
        <w:spacing w:after="200"/>
        <w:jc w:val="both"/>
      </w:pPr>
      <w:r>
        <w:rPr>
          <w:rFonts w:ascii="Georgia" w:cs="Georgia" w:eastAsia="Georgia" w:hAnsi="Georgia"/>
          <w:b w:val="false"/>
          <w:bCs w:val="false"/>
          <w:i w:val="false"/>
          <w:iCs w:val="false"/>
          <w:color w:val="3A4A5C"/>
          <w:sz w:val="22"/>
          <w:szCs w:val="22"/>
        </w:rPr>
        <w:t xml:space="preserve">Beyond affordability, this model offers a distinct social contribution. Clients are not merely receiving a discounted service — they are supporting the professional development of aspiring practitioners. This dual benefit positions the salon-academy as a community investment, not simply a commercial tenant. For you, whose career has been rooted in education and public service, this model authentically reflects values that are central to your personal and professional identity.</w:t>
      </w:r>
    </w:p>
    <w:p>
      <w:pPr>
        <w:pBdr>
          <w:bottom w:val="single" w:color="C9A84C" w:sz="6" w:space="1"/>
        </w:pBdr>
        <w:spacing w:after="200" w:before="200"/>
      </w:pPr>
    </w:p>
    <w:p>
      <w:r>
        <w:br w:type="page"/>
      </w:r>
    </w:p>
    <w:p>
      <w:pPr>
        <w:pStyle w:val="Heading1"/>
        <w:pBdr>
          <w:bottom w:val="single" w:color="C9A84C" w:sz="4" w:space="4"/>
        </w:pBdr>
        <w:spacing w:after="200" w:before="360"/>
        <w:pageBreakBefore/>
      </w:pPr>
      <w:r>
        <w:rPr>
          <w:rFonts w:ascii="Georgia" w:cs="Georgia" w:eastAsia="Georgia" w:hAnsi="Georgia"/>
          <w:b/>
          <w:bCs/>
          <w:color w:val="0C1A2E"/>
          <w:sz w:val="26"/>
          <w:szCs w:val="26"/>
        </w:rPr>
        <w:t>4. Risk Factors &amp; Mitigations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72"/>
      </w:tblGrid>
      <w:tr>
        <w:trPr>
          <w:tblHeader/>
        </w:trPr>
        <w:tc>
          <w:tcPr>
            <w:tcW w:type="dxa" w:w="2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Impact</w:t>
            </w:r>
          </w:p>
        </w:tc>
        <w:tc>
          <w:tcPr>
            <w:tcW w:type="dxa" w:w="1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Likelihood</w:t>
            </w:r>
          </w:p>
        </w:tc>
        <w:tc>
          <w:tcPr>
            <w:tcW w:type="dxa" w:w="44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1,200 sq ft limits capacity</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Medium</w:t>
            </w:r>
          </w:p>
        </w:tc>
        <w:tc>
          <w:tcPr>
            <w:tcW w:type="dxa" w:w="1200"/>
            <w:tcBorders>
              <w:top w:val="single" w:color="CCCCCC" w:sz="1"/>
              <w:left w:val="single" w:color="CCCCCC" w:sz="1"/>
              <w:bottom w:val="single" w:color="CCCCCC" w:sz="1"/>
              <w:right w:val="single" w:color="CCCCCC" w:sz="1"/>
            </w:tcBorders>
            <w:shd w:fill="2E7D32"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Low</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Compact model with 4–6 stations; scalable to upper floors if proven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Regulatory delays (if DEP path)</w:t>
            </w:r>
          </w:p>
        </w:tc>
        <w:tc>
          <w:tcPr>
            <w:tcW w:type="dxa" w:w="1200"/>
            <w:tcBorders>
              <w:top w:val="single" w:color="CCCCCC" w:sz="1"/>
              <w:left w:val="single" w:color="CCCCCC" w:sz="1"/>
              <w:bottom w:val="single" w:color="CCCCCC" w:sz="1"/>
              <w:right w:val="single" w:color="CCCCCC" w:sz="1"/>
            </w:tcBorders>
            <w:shd w:fill="CC3333"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High</w:t>
            </w:r>
          </w:p>
        </w:tc>
        <w:tc>
          <w:tcPr>
            <w:tcW w:type="dxa" w:w="1200"/>
            <w:tcBorders>
              <w:top w:val="single" w:color="CCCCCC" w:sz="1"/>
              <w:left w:val="single" w:color="CCCCCC" w:sz="1"/>
              <w:bottom w:val="single" w:color="CCCCCC" w:sz="1"/>
              <w:right w:val="single" w:color="CCCCCC" w:sz="1"/>
            </w:tcBorders>
            <w:shd w:fill="CC3333"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High</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Start with non-DEP continuing education; pursue accreditation later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Insufficient student enrollment</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Medium</w:t>
            </w:r>
          </w:p>
        </w:tc>
        <w:tc>
          <w:tcPr>
            <w:tcW w:type="dxa" w:w="1200"/>
            <w:tcBorders>
              <w:top w:val="single" w:color="CCCCCC" w:sz="1"/>
              <w:left w:val="single" w:color="CCCCCC" w:sz="1"/>
              <w:bottom w:val="single" w:color="CCCCCC" w:sz="1"/>
              <w:right w:val="single" w:color="CCCCCC" w:sz="1"/>
            </w:tcBorders>
            <w:shd w:fill="2E7D32"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Low</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No competing hybrid model in Gatineau; pricing advantage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Client traffic below projections</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Medium</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Medium</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Government corridor foot traffic; digital marketing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Instructor recruitment</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Medium</w:t>
            </w:r>
          </w:p>
        </w:tc>
        <w:tc>
          <w:tcPr>
            <w:tcW w:type="dxa" w:w="1200"/>
            <w:tcBorders>
              <w:top w:val="single" w:color="CCCCCC" w:sz="1"/>
              <w:left w:val="single" w:color="CCCCCC" w:sz="1"/>
              <w:bottom w:val="single" w:color="CCCCCC" w:sz="1"/>
              <w:right w:val="single" w:color="CCCCCC" w:sz="1"/>
            </w:tcBorders>
            <w:shd w:fill="2E7D32" w:val="clear"/>
            <w:tcMar>
              <w:top w:type="dxa" w:w="50"/>
              <w:left w:type="dxa" w:w="100"/>
              <w:bottom w:type="dxa" w:w="50"/>
              <w:right w:type="dxa" w:w="100"/>
            </w:tcMar>
          </w:tcPr>
          <w:p>
            <w:r>
              <w:rPr>
                <w:rFonts w:ascii="Georgia" w:cs="Georgia" w:eastAsia="Georgia" w:hAnsi="Georgia"/>
                <w:b w:val="false"/>
                <w:bCs w:val="false"/>
                <w:color w:val="FFFFFF"/>
                <w:sz w:val="19"/>
                <w:szCs w:val="19"/>
              </w:rPr>
              <w:t>Low</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Competitive salary competitive salary; bilingual pool</w:t>
            </w:r>
          </w:p>
        </w:tc>
      </w:tr>
    </w:tbl>
    <w:p>
      <w:pPr>
        <w:pBdr>
          <w:bottom w:val="single" w:color="C9A84C" w:sz="6" w:space="1"/>
        </w:pBdr>
        <w:spacing w:after="200" w:before="200"/>
      </w:pPr>
    </w:p>
    <w:p>
      <w:r>
        <w:br w:type="page"/>
      </w:r>
    </w:p>
    <w:p>
      <w:pPr>
        <w:pStyle w:val="Heading1"/>
        <w:pBdr>
          <w:bottom w:val="single" w:color="C9A84C" w:sz="4" w:space="4"/>
        </w:pBdr>
        <w:spacing w:after="200" w:before="360"/>
      </w:pPr>
      <w:r>
        <w:rPr>
          <w:rFonts w:ascii="Georgia" w:cs="Georgia" w:eastAsia="Georgia" w:hAnsi="Georgia"/>
          <w:b/>
          <w:bCs/>
          <w:color w:val="0C1A2E"/>
          <w:sz w:val="26"/>
          <w:szCs w:val="26"/>
        </w:rPr>
        <w:t>5. Conclusion &amp; Recommendation</w:t>
      </w:r>
    </w:p>
    <w:p>
      <w:pPr>
        <w:spacing w:after="200"/>
        <w:jc w:val="both"/>
      </w:pPr>
      <w:r>
        <w:rPr>
          <w:rFonts w:ascii="Georgia" w:cs="Georgia" w:eastAsia="Georgia" w:hAnsi="Georgia"/>
          <w:b w:val="false"/>
          <w:bCs w:val="false"/>
          <w:i w:val="false"/>
          <w:iCs w:val="false"/>
          <w:color w:val="3A4A5C"/>
          <w:sz w:val="22"/>
          <w:szCs w:val="22"/>
        </w:rPr>
        <w:t>The hybrid salon-academy model at 179 Promenade du Portage represents a viable commercial concept supported by favourable demographics, an identified market gap, and a dual-revenue structure that combines student tuition with client services. The concept is differentiated from every existing competitor in the Gatineau downtown core.</w:t>
      </w:r>
    </w:p>
    <w:p>
      <w:pPr>
        <w:spacing w:after="200"/>
        <w:jc w:val="both"/>
      </w:pPr>
      <w:r>
        <w:rPr>
          <w:rFonts w:ascii="Georgia" w:cs="Georgia" w:eastAsia="Georgia" w:hAnsi="Georgia"/>
          <w:b w:val="false"/>
          <w:bCs w:val="false"/>
          <w:i w:val="false"/>
          <w:iCs w:val="false"/>
          <w:color w:val="3A4A5C"/>
          <w:sz w:val="22"/>
          <w:szCs w:val="22"/>
        </w:rPr>
        <w:t>The financial model demonstrates that this concept can reach breakeven at modest enrollment levels (6 students per cycle) while generating meaningful revenue at full capacity. The dual-revenue structure — tuition from students and fees from supervised client services — provides built-in diversification that reduces single-point-of-failure risk.</w:t>
      </w:r>
    </w:p>
    <w:p>
      <w:pPr>
        <w:spacing w:after="200"/>
        <w:jc w:val="both"/>
      </w:pPr>
      <w:r>
        <w:rPr>
          <w:rFonts w:ascii="Georgia" w:cs="Georgia" w:eastAsia="Georgia" w:hAnsi="Georgia"/>
          <w:b/>
          <w:bCs/>
          <w:color w:val="0C1A2E"/>
          <w:sz w:val="22"/>
          <w:szCs w:val="22"/>
        </w:rPr>
        <w:t>My recommendation is to proceed with a structured feasibility assessment to validate assumptions, confirm regulatory requirements, and develop a detailed implementation plan. This is a low-risk, high-information-value step that positions us to move decisively once the analysis is complete.</w:t>
      </w:r>
      <w:r>
        <w:rPr>
          <w:rFonts w:ascii="Georgia" w:cs="Georgia" w:eastAsia="Georgia" w:hAnsi="Georgia"/>
          <w:color w:val="3A4A5C"/>
          <w:sz w:val="22"/>
          <w:szCs w:val="22"/>
        </w:rPr>
      </w:r>
    </w:p>
    <w:p>
      <w:pPr>
        <w:spacing w:after="200"/>
        <w:jc w:val="both"/>
      </w:pPr>
      <w:r>
        <w:rPr>
          <w:rFonts w:ascii="Georgia" w:cs="Georgia" w:eastAsia="Georgia" w:hAnsi="Georgia"/>
          <w:b w:val="false"/>
          <w:bCs w:val="false"/>
          <w:i w:val="false"/>
          <w:iCs w:val="false"/>
          <w:color w:val="3A4A5C"/>
          <w:sz w:val="22"/>
          <w:szCs w:val="22"/>
        </w:rPr>
        <w:t xml:space="preserve">I am committed to seeing this through from analysis to execution. The work presented here reflects not only my assessment of the commercial opportunity, but the broader strategic vision I am developing for both properties. I look forward to discussing next steps with you and your team.</w:t>
      </w:r>
    </w:p>
    <w:p>
      <w:pPr>
        <w:spacing w:after="400"/>
      </w:pPr>
    </w:p>
    <w:p>
      <w:pPr>
        <w:spacing w:after="400"/>
      </w:pPr>
    </w:p>
    <w:p>
      <w:pPr>
        <w:spacing w:after="40"/>
      </w:pPr>
      <w:r>
        <w:rPr>
          <w:rFonts w:ascii="Georgia" w:cs="Georgia" w:eastAsia="Georgia" w:hAnsi="Georgia"/>
          <w:b/>
          <w:bCs/>
          <w:color w:val="0C1A2E"/>
          <w:sz w:val="22"/>
          <w:szCs w:val="22"/>
        </w:rPr>
        <w:t>Joseph Soares, MBA, Adm.A., PMP</w:t>
      </w:r>
    </w:p>
    <w:p>
      <w:pPr>
        <w:spacing w:after="40"/>
      </w:pPr>
      <w:r>
        <w:rPr>
          <w:rFonts w:ascii="Georgia" w:cs="Georgia" w:eastAsia="Georgia" w:hAnsi="Georgia"/>
          <w:color w:val="3A4A5C"/>
          <w:sz w:val="20"/>
          <w:szCs w:val="20"/>
        </w:rPr>
        <w:t>Managing Partner</w:t>
      </w:r>
    </w:p>
    <w:p>
      <w:pPr>
        <w:spacing w:after="40"/>
      </w:pPr>
      <w:r>
        <w:rPr>
          <w:rFonts w:ascii="Georgia" w:cs="Georgia" w:eastAsia="Georgia" w:hAnsi="Georgia"/>
          <w:color w:val="3A4A5C"/>
          <w:sz w:val="20"/>
          <w:szCs w:val="20"/>
        </w:rPr>
        <w:t>IBPROM Corp</w:t>
      </w:r>
    </w:p>
    <w:p>
      <w:pPr>
        <w:spacing w:after="40"/>
      </w:pPr>
      <w:r>
        <w:rPr>
          <w:rFonts w:ascii="Georgia" w:cs="Georgia" w:eastAsia="Georgia" w:hAnsi="Georgia"/>
          <w:color w:val="3A4A5C"/>
          <w:sz w:val="20"/>
          <w:szCs w:val="20"/>
        </w:rPr>
        <w:t>soares@ibprom.com</w:t>
      </w:r>
    </w:p>
    <w:p>
      <w:pPr>
        <w:spacing w:after="400"/>
      </w:pPr>
    </w:p>
    <w:p>
      <w:pPr>
        <w:pBdr>
          <w:bottom w:val="single" w:color="C9A84C" w:sz="6" w:space="1"/>
        </w:pBdr>
        <w:spacing w:after="200" w:before="200"/>
      </w:pPr>
    </w:p>
    <w:p>
      <w:r>
        <w:rPr/>
        <w:t xml:space="preserve"/>
      </w:r>
    </w:p>
    <w:p>
      <w:r>
        <w:rPr/>
        <w:t xml:space="preserve"/>
      </w:r>
    </w:p>
    <w:p>
      <w:pPr>
        <w:pageBreakBefore/>
        <w:pBdr>
          <w:bottom w:val="single" w:color="C9A84C" w:sz="6" w:space="8"/>
        </w:pBdr>
        <w:spacing w:after="300"/>
      </w:pPr>
      <w:r>
        <w:rPr>
          <w:rFonts w:ascii="Georgia" w:cs="Georgia" w:eastAsia="Georgia" w:hAnsi="Georgia"/>
          <w:b/>
          <w:bCs/>
          <w:color w:val="0C1A2E"/>
          <w:sz w:val="28"/>
          <w:szCs w:val="28"/>
        </w:rPr>
        <w:t xml:space="preserve">References</w:t>
      </w:r>
    </w:p>
    <w:p>
      <w:pPr>
        <w:spacing w:after="160"/>
        <w:ind w:left="360" w:hanging="360"/>
      </w:pPr>
      <w:r>
        <w:rPr>
          <w:rFonts w:ascii="Georgia" w:cs="Georgia" w:eastAsia="Georgia" w:hAnsi="Georgia"/>
          <w:color w:val="3A4A5C"/>
          <w:sz w:val="18"/>
          <w:szCs w:val="18"/>
        </w:rPr>
        <w:t xml:space="preserve">1. Statistics Canada. “Census Profile, 2021 Census of Population: Gatineau CMA.” Government of Canada, 2022. </w:t>
      </w:r>
      <w:hyperlink r:id="rId10" w:history="1">
        <w:r>
          <w:rPr>
            <w:rStyle w:val="Hyperlink"/>
            <w:rFonts w:ascii="Georgia" w:cs="Georgia" w:eastAsia="Georgia" w:hAnsi="Georgia"/>
            <w:color w:val="2E75B6"/>
            <w:sz w:val="18"/>
            <w:szCs w:val="18"/>
            <w:u w:val="single"/>
          </w:rPr>
          <w:t>statcan.gc.ca</w:t>
        </w:r>
      </w:hyperlink>
    </w:p>
    <w:p>
      <w:pPr>
        <w:spacing w:after="160"/>
        <w:ind w:left="360" w:hanging="360"/>
      </w:pPr>
      <w:r>
        <w:rPr>
          <w:rFonts w:ascii="Georgia" w:cs="Georgia" w:eastAsia="Georgia" w:hAnsi="Georgia"/>
          <w:color w:val="3A4A5C"/>
          <w:sz w:val="18"/>
          <w:szCs w:val="18"/>
        </w:rPr>
        <w:t xml:space="preserve">2. Emploi-Québec. “Information sur le marché du travail (IMT en ligne): Région de l’Outaouais, 2024–2026 Outlook.” Gouvernement du Québec. </w:t>
      </w:r>
      <w:hyperlink r:id="rId11" w:history="1">
        <w:r>
          <w:rPr>
            <w:rStyle w:val="Hyperlink"/>
            <w:rFonts w:ascii="Georgia" w:cs="Georgia" w:eastAsia="Georgia" w:hAnsi="Georgia"/>
            <w:color w:val="2E75B6"/>
            <w:sz w:val="18"/>
            <w:szCs w:val="18"/>
            <w:u w:val="single"/>
          </w:rPr>
          <w:t>quebec.ca</w:t>
        </w:r>
      </w:hyperlink>
    </w:p>
    <w:p>
      <w:pPr>
        <w:spacing w:after="160"/>
        <w:ind w:left="360" w:hanging="360"/>
      </w:pPr>
      <w:r>
        <w:rPr>
          <w:rFonts w:ascii="Georgia" w:cs="Georgia" w:eastAsia="Georgia" w:hAnsi="Georgia"/>
          <w:color w:val="3A4A5C"/>
          <w:sz w:val="18"/>
          <w:szCs w:val="18"/>
        </w:rPr>
        <w:t xml:space="preserve">3. Treasury Board of Canada Secretariat. “Direction on Prescribed Presence in the Workplace.” Government of Canada, May 16, 2024. </w:t>
      </w:r>
      <w:hyperlink r:id="rId12" w:history="1">
        <w:r>
          <w:rPr>
            <w:rStyle w:val="Hyperlink"/>
            <w:rFonts w:ascii="Georgia" w:cs="Georgia" w:eastAsia="Georgia" w:hAnsi="Georgia"/>
            <w:color w:val="2E75B6"/>
            <w:sz w:val="18"/>
            <w:szCs w:val="18"/>
            <w:u w:val="single"/>
          </w:rPr>
          <w:t>canada.ca</w:t>
        </w:r>
      </w:hyperlink>
    </w:p>
    <w:p>
      <w:pPr>
        <w:spacing w:after="160"/>
        <w:ind w:left="360" w:hanging="360"/>
      </w:pPr>
      <w:r>
        <w:rPr>
          <w:rFonts w:ascii="Georgia" w:cs="Georgia" w:eastAsia="Georgia" w:hAnsi="Georgia"/>
          <w:color w:val="3A4A5C"/>
          <w:sz w:val="18"/>
          <w:szCs w:val="18"/>
        </w:rPr>
        <w:t xml:space="preserve">4. Public Services and Procurement Canada. “Place du Portage Phase III Renewal Project.” Government of Canada. </w:t>
      </w:r>
      <w:hyperlink r:id="rId13" w:history="1">
        <w:r>
          <w:rPr>
            <w:rStyle w:val="Hyperlink"/>
            <w:rFonts w:ascii="Georgia" w:cs="Georgia" w:eastAsia="Georgia" w:hAnsi="Georgia"/>
            <w:color w:val="2E75B6"/>
            <w:sz w:val="18"/>
            <w:szCs w:val="18"/>
            <w:u w:val="single"/>
          </w:rPr>
          <w:t>canada.ca</w:t>
        </w:r>
      </w:hyperlink>
    </w:p>
    <w:p>
      <w:pPr>
        <w:pBdr>
          <w:top w:val="single" w:color="C9A84C" w:sz="6" w:space="8"/>
        </w:pBdr>
        <w:spacing w:before="400"/>
      </w:pPr>
      <w:r>
        <w:rPr>
          <w:rFonts w:ascii="Georgia" w:cs="Georgia" w:eastAsia="Georgia" w:hAnsi="Georgia"/>
          <w:i/>
          <w:iCs/>
          <w:color w:val="7A7568"/>
          <w:sz w:val="16"/>
          <w:szCs w:val="16"/>
        </w:rPr>
        <w:t xml:space="preserve">Disclaimer: This document has been prepared by IBPROM Corp for informational and strategic planning purposes only. It does not constitute legal, financial, or investment advice. The analysis is based on publicly available data and professional judgment as of the date of publication. While every effort has been made to ensure accuracy, IBPROM Corp makes no representations or warranties regarding the completeness or reliability of the information contained herein. Readers are advised to consult qualified professionals before making business decisions based on this document.</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Georgia" w:cs="Georgia" w:eastAsia="Georgia" w:hAnsi="Georgia"/>
        <w:color w:val="3A4A5C"/>
        <w:sz w:val="14"/>
        <w:szCs w:val="14"/>
      </w:rPr>
      <w:t xml:space="preserve">IBPROM Corp — Hybrid Salon-Academy Analysis</w:t>
    </w:r>
    <w:r>
      <w:rPr>
        <w:sz w:val="14"/>
        <w:szCs w:val="14"/>
      </w:rPr>
      <w:t xml:space="preserve">	</w:t>
    </w:r>
    <w:r>
      <w:rPr>
        <w:rFonts w:ascii="Georgia" w:cs="Georgia" w:eastAsia="Georgia" w:hAnsi="Georgia"/>
        <w:color w:val="3A4A5C"/>
        <w:sz w:val="14"/>
        <w:szCs w:val="14"/>
      </w:rPr>
      <w:t xml:space="preserve">Page </w:t>
    </w:r>
    <w:r>
      <w:rPr>
        <w:rFonts w:ascii="Georgia" w:cs="Georgia" w:eastAsia="Georgia" w:hAnsi="Georgia"/>
        <w:color w:val="3A4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Georgia" w:cs="Georgia" w:eastAsia="Georgia" w:hAnsi="Georgia"/>
        <w:b/>
        <w:bCs/>
        <w:color w:val="C9A84C"/>
        <w:spacing w:val="100"/>
        <w:sz w:val="14"/>
        <w:szCs w:val="14"/>
      </w:rPr>
      <w:t xml:space="preserve">PRIVILEGED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1A2E"/>
      <w:sz w:val="26"/>
      <w:szCs w:val="26"/>
    </w:rPr>
  </w:style>
  <w:style w:type="paragraph" w:styleId="Heading2">
    <w:name w:val="Heading 2"/>
    <w:basedOn w:val="Normal"/>
    <w:next w:val="Normal"/>
    <w:qFormat/>
    <w:pPr>
      <w:spacing w:after="160" w:before="280"/>
      <w:outlineLvl w:val="1"/>
    </w:pPr>
    <w:rPr>
      <w:rFonts w:ascii="Georgia" w:cs="Georgia" w:eastAsia="Georgia" w:hAnsi="Georgia"/>
      <w:b/>
      <w:bCs/>
      <w:color w:val="0C1A2E"/>
      <w:sz w:val="22"/>
      <w:szCs w:val="22"/>
    </w:rPr>
  </w:style>
  <w:style w:type="paragraph" w:styleId="Heading3">
    <w:name w:val="Heading 3"/>
    <w:basedOn w:val="Normal"/>
    <w:next w:val="Normal"/>
    <w:qFormat/>
    <w:pPr>
      <w:spacing w:after="120" w:before="200"/>
      <w:outlineLvl w:val="2"/>
    </w:pPr>
    <w:rPr>
      <w:rFonts w:ascii="Georgia" w:cs="Georgia" w:eastAsia="Georgia" w:hAnsi="Georgia"/>
      <w:b/>
      <w:bCs/>
      <w:color w:val="3A4A5C"/>
      <w:sz w:val="20"/>
      <w:szCs w:val="20"/>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10" Type="http://schemas.openxmlformats.org/officeDocument/2006/relationships/hyperlink" Target="https://www12.statcan.gc.ca/census-recensement/2021/dp-pd/prof/details/page.cfm?Lang=E&amp;GeoUID=505&amp;DGUIDlist=2021A00053505" TargetMode="External"/>
  <Relationship Id="rId11" Type="http://schemas.openxmlformats.org/officeDocument/2006/relationships/hyperlink" Target="https://www.quebec.ca/emploi/planification-gestion/information-marche-travail" TargetMode="External"/>
  <Relationship Id="rId12" Type="http://schemas.openxmlformats.org/officeDocument/2006/relationships/hyperlink" Target="https://www.canada.ca/en/government/publicservice/workforce/direction-prescribed-presence-workplace.html" TargetMode="External"/>
  <Relationship Id="rId13" Type="http://schemas.openxmlformats.org/officeDocument/2006/relationships/hyperlink" Target="https://www.canada.ca/en/public-services-procurement/services/infrastructure-buildings/construction/portage-3-renewal.html" TargetMode="Externa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2026-04-11T17:17:59.824Z</dcterms:created>
  <dcterms:modified xsi:type="dcterms:W3CDTF">2026-04-11T17:17:59.824Z</dcterms:modified>
</cp:coreProperties>
</file>

<file path=docProps/custom.xml><?xml version="1.0" encoding="utf-8"?>
<Properties xmlns="http://schemas.openxmlformats.org/officeDocument/2006/custom-properties" xmlns:vt="http://schemas.openxmlformats.org/officeDocument/2006/docPropsVTypes"/>
</file>