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jc w:val="center"/>
      </w:pPr>
    </w:p>
    <w:p>
      <w:pPr>
        <w:spacing w:after="160"/>
        <w:jc w:val="center"/>
      </w:pPr>
      <w:r>
        <w:rPr>
          <w:rFonts w:ascii="Georgia" w:cs="Georgia" w:eastAsia="Georgia" w:hAnsi="Georgia"/>
          <w:b/>
          <w:bCs/>
          <w:color w:val="C9A84C"/>
          <w:spacing w:val="200"/>
          <w:sz w:val="18"/>
          <w:szCs w:val="18"/>
        </w:rPr>
        <w:t xml:space="preserve">PRIVILÉGIÉ ET CONFIDENTIEL</w:t>
      </w:r>
    </w:p>
    <w:p>
      <w:pPr>
        <w:pBdr>
          <w:bottom w:val="single" w:color="C9A84C" w:sz="4" w:space="6"/>
        </w:pBdr>
        <w:spacing w:after="0"/>
        <w:jc w:val="center"/>
      </w:pPr>
    </w:p>
    <w:p>
      <w:pPr>
        <w:spacing w:after="300"/>
      </w:pPr>
    </w:p>
    <w:p>
      <w:pPr>
        <w:spacing w:after="120"/>
        <w:jc w:val="center"/>
      </w:pPr>
      <w:r>
        <w:rPr>
          <w:rFonts w:ascii="Georgia" w:cs="Georgia" w:eastAsia="Georgia" w:hAnsi="Georgia"/>
          <w:b/>
          <w:bCs/>
          <w:color w:val="0C1A2E"/>
          <w:sz w:val="40"/>
          <w:szCs w:val="40"/>
        </w:rPr>
        <w:t xml:space="preserve">MODÈLE HYBRIDE SALON-ACADÉMIE</w:t>
      </w:r>
    </w:p>
    <w:p>
      <w:pPr>
        <w:spacing w:after="120"/>
      </w:pPr>
    </w:p>
    <w:p>
      <w:pPr>
        <w:spacing w:after="80"/>
        <w:jc w:val="center"/>
      </w:pPr>
      <w:r>
        <w:rPr>
          <w:rFonts w:ascii="Georgia" w:cs="Georgia" w:eastAsia="Georgia" w:hAnsi="Georgia"/>
          <w:color w:val="3A4A5C"/>
          <w:sz w:val="22"/>
          <w:szCs w:val="22"/>
        </w:rPr>
        <w:t xml:space="preserve">Analyse de marché, évaluation de faisabilité</w:t>
      </w:r>
    </w:p>
    <w:p>
      <w:pPr>
        <w:spacing w:after="300"/>
      </w:pPr>
    </w:p>
    <w:p>
      <w:pPr>
        <w:pBdr>
          <w:top w:val="single" w:color="C9A84C" w:sz="4" w:space="6"/>
        </w:pBdr>
        <w:spacing w:after="0"/>
        <w:jc w:val="center"/>
      </w:pPr>
    </w:p>
    <w:p>
      <w:pPr>
        <w:spacing w:after="80"/>
      </w:pPr>
    </w:p>
    <w:p>
      <w:pPr>
        <w:spacing w:after="60"/>
        <w:jc w:val="center"/>
      </w:pPr>
      <w:r>
        <w:rPr>
          <w:rFonts w:ascii="Georgia" w:cs="Georgia" w:eastAsia="Georgia" w:hAnsi="Georgia"/>
          <w:color w:val="3A4A5C"/>
          <w:sz w:val="20"/>
          <w:szCs w:val="20"/>
        </w:rPr>
        <w:t xml:space="preserve">179, Promenade du Portage, Gatineau (Québec)</w:t>
      </w:r>
    </w:p>
    <w:p>
      <w:pPr>
        <w:spacing w:after="300"/>
      </w:pPr>
    </w:p>
    <w:p>
      <w:pPr>
        <w:spacing w:after="40"/>
        <w:jc w:val="center"/>
      </w:pPr>
      <w:r>
        <w:rPr>
          <w:rFonts w:ascii="Georgia" w:cs="Georgia" w:eastAsia="Georgia" w:hAnsi="Georgia"/>
          <w:color w:val="3A4A5C"/>
          <w:sz w:val="16"/>
          <w:szCs w:val="16"/>
        </w:rPr>
        <w:t xml:space="preserve">Préparé par</w:t>
      </w:r>
    </w:p>
    <w:p>
      <w:pPr>
        <w:spacing w:after="40"/>
        <w:jc w:val="center"/>
      </w:pPr>
      <w:r>
        <w:rPr>
          <w:rFonts w:ascii="Georgia" w:cs="Georgia" w:eastAsia="Georgia" w:hAnsi="Georgia"/>
          <w:b/>
          <w:bCs/>
          <w:color w:val="0C1A2E"/>
          <w:sz w:val="22"/>
          <w:szCs w:val="22"/>
        </w:rPr>
        <w:t>JOSEPH SOARES, MBA, PMP, Adm.A., ACC</w:t>
        <w:br/>
        <w:t xml:space="preserve">Associé directeur</w:t>
      </w:r>
    </w:p>
    <w:p>
      <w:pPr>
        <w:spacing w:after="40"/>
        <w:jc w:val="center"/>
      </w:pPr>
      <w:r>
        <w:rPr>
          <w:rFonts w:ascii="Georgia" w:cs="Georgia" w:eastAsia="Georgia" w:hAnsi="Georgia"/>
          <w:b/>
          <w:bCs/>
          <w:color w:val="0C1A2E"/>
          <w:sz w:val="22"/>
          <w:szCs w:val="22"/>
        </w:rPr>
        <w:t>GABRIEL ANDINO, BA, analyste économique</w:t>
      </w:r>
    </w:p>
    <w:p>
      <w:pPr>
        <w:spacing w:after="40"/>
        <w:jc w:val="center"/>
      </w:pPr>
      <w:r>
        <w:rPr>
          <w:rFonts w:ascii="Georgia" w:cs="Georgia" w:eastAsia="Georgia" w:hAnsi="Georgia"/>
          <w:color w:val="3A4A5C"/>
          <w:sz w:val="18"/>
          <w:szCs w:val="18"/>
        </w:rPr>
        <w:t xml:space="preserve">IBPROM Corp</w:t>
      </w:r>
    </w:p>
    <w:p>
      <w:pPr>
        <w:spacing w:after="160"/>
      </w:pPr>
    </w:p>
    <w:p>
      <w:pPr>
        <w:spacing w:after="40"/>
        <w:jc w:val="center"/>
      </w:pPr>
      <w:r>
        <w:rPr>
          <w:rFonts w:ascii="Georgia" w:cs="Georgia" w:eastAsia="Georgia" w:hAnsi="Georgia"/>
          <w:color w:val="3A4A5C"/>
          <w:sz w:val="16"/>
          <w:szCs w:val="16"/>
        </w:rPr>
        <w:t xml:space="preserve">Préparé pour</w:t>
      </w:r>
    </w:p>
    <w:p>
      <w:pPr>
        <w:spacing w:after="40"/>
        <w:jc w:val="center"/>
      </w:pPr>
      <w:r>
        <w:rPr>
          <w:rFonts w:ascii="Georgia" w:cs="Georgia" w:eastAsia="Georgia" w:hAnsi="Georgia"/>
          <w:b/>
          <w:bCs/>
          <w:color w:val="0C1A2E"/>
          <w:sz w:val="22"/>
          <w:szCs w:val="22"/>
        </w:rPr>
        <w:t xml:space="preserve">DR NADER DORMANI</w:t>
      </w:r>
    </w:p>
    <w:p>
      <w:pPr>
        <w:spacing w:after="40"/>
        <w:jc w:val="center"/>
      </w:pPr>
      <w:r>
        <w:rPr>
          <w:rFonts w:ascii="Georgia" w:cs="Georgia" w:eastAsia="Georgia" w:hAnsi="Georgia"/>
          <w:color w:val="3A4A5C"/>
          <w:sz w:val="18"/>
          <w:szCs w:val="18"/>
        </w:rPr>
        <w:t xml:space="preserve">Groupe Dormani</w:t>
      </w:r>
    </w:p>
    <w:p>
      <w:pPr>
        <w:spacing w:after="300"/>
      </w:pPr>
    </w:p>
    <w:p>
      <w:pPr>
        <w:spacing w:after="0"/>
        <w:jc w:val="center"/>
      </w:pPr>
      <w:r>
        <w:rPr>
          <w:rFonts w:ascii="Georgia" w:cs="Georgia" w:eastAsia="Georgia" w:hAnsi="Georgia"/>
          <w:color w:val="3A4A5C"/>
          <w:sz w:val="18"/>
          <w:szCs w:val="18"/>
        </w:rPr>
        <w:t xml:space="preserve">Le 11 avril 2026</w:t>
      </w:r>
    </w:p>
    <w:p>
      <w:pPr>
        <w:sectPr>
          <w:pgSz w:w="12240" w:h="15840" w:orient="portrait"/>
          <w:pgMar w:top="0" w:right="0" w:bottom="0" w:left="0" w:header="708" w:footer="708" w:gutter="0"/>
          <w:pgNumType/>
          <w:docGrid w:linePitch="360"/>
        </w:sectPr>
      </w:pPr>
    </w:p>
    <w:p>
      <w:pPr>
        <w:pStyle w:val="Heading1"/>
        <w:pBdr>
          <w:bottom w:val="single" w:color="C9A84C" w:sz="4" w:space="4"/>
        </w:pBdr>
        <w:spacing w:after="200" w:before="360"/>
      </w:pPr>
      <w:r>
        <w:rPr>
          <w:rFonts w:ascii="Georgia" w:cs="Georgia" w:eastAsia="Georgia" w:hAnsi="Georgia"/>
          <w:b/>
          <w:bCs/>
          <w:color w:val="0C1A2E"/>
          <w:sz w:val="26"/>
          <w:szCs w:val="26"/>
        </w:rPr>
        <w:t xml:space="preserve">1. Sommaire exécutif</w:t>
      </w:r>
    </w:p>
    <w:p>
      <w:pPr>
        <w:spacing w:after="200"/>
        <w:jc w:val="both"/>
      </w:pPr>
      <w:r>
        <w:rPr>
          <w:rFonts w:ascii="Georgia" w:cs="Georgia" w:eastAsia="Georgia" w:hAnsi="Georgia"/>
          <w:b w:val="false"/>
          <w:bCs w:val="false"/>
          <w:i w:val="false"/>
          <w:iCs w:val="false"/>
          <w:color w:val="3A4A5C"/>
          <w:sz w:val="22"/>
          <w:szCs w:val="22"/>
        </w:rPr>
        <w:t>Au cours des dernières semaines, j'ai accompagné le développement et la commercialisation des propriétés situées au 179 et au 191, Promenade du Portage, à Gatineau. Le défi principal est clair : la location commerciale traditionnelle crée une dépendance envers des locataires individuels qui peuvent partir, faire défaut ou sous-performer — laissant le propriétaire exposé au risque de vacance avec un contrôle limité sur les résultats. Fort de mon expérience au bureau du Premier ministre du Canada lors de la crise financière mondiale de 2008 et à titre de chef de cabinet au Sénat du Canada, j'ai développé une approche différente.</w:t>
      </w:r>
    </w:p>
    <w:p>
      <w:pPr>
        <w:spacing w:after="200"/>
        <w:jc w:val="both"/>
      </w:pPr>
      <w:r>
        <w:rPr>
          <w:rFonts w:ascii="Georgia" w:cs="Georgia" w:eastAsia="Georgia" w:hAnsi="Georgia"/>
          <w:color w:val="3A4A5C"/>
          <w:sz w:val="22"/>
          <w:szCs w:val="22"/>
        </w:rPr>
        <w:t xml:space="preserve">Le concept derrière le Campus du Corridor de la Capitale est de bâtir un écosystème de locataires plutôt que de simplement louer des espaces. Au lieu d'attendre que des locataires se présentent par l'entremise de courtiers, nous les créons — en concevant des projets autour de partenariats institutionnels avec des organisations établies telles que le Cégep de l'Outaouais ou l'Université du Québec en Outaouais, puis en installant ces organisations comme occupants à long terme des propriétés. Le résultat est une base d'occupation plus stable et diversifiée, fondée sur des relations institutionnelles plutôt que sur des baux individuels. </w:t>
      </w:r>
      <w:r>
        <w:rPr>
          <w:rFonts w:ascii="Georgia" w:cs="Georgia" w:eastAsia="Georgia" w:hAnsi="Georgia"/>
          <w:b/>
          <w:bCs/>
          <w:color w:val="0C1A2E"/>
          <w:sz w:val="22"/>
          <w:szCs w:val="22"/>
        </w:rPr>
      </w:r>
      <w:r>
        <w:rPr>
          <w:rFonts w:ascii="Georgia" w:cs="Georgia" w:eastAsia="Georgia" w:hAnsi="Georgia"/>
          <w:color w:val="3A4A5C"/>
          <w:sz w:val="22"/>
          <w:szCs w:val="22"/>
        </w:rPr>
      </w:r>
    </w:p>
    <w:p>
      <w:pPr>
        <w:spacing w:after="200"/>
        <w:jc w:val="both"/>
      </w:pPr>
      <w:r>
        <w:rPr>
          <w:rFonts w:ascii="Georgia" w:cs="Georgia" w:eastAsia="Georgia" w:hAnsi="Georgia"/>
          <w:b w:val="false"/>
          <w:bCs w:val="false"/>
          <w:i w:val="false"/>
          <w:iCs w:val="false"/>
          <w:color w:val="3A4A5C"/>
          <w:sz w:val="22"/>
          <w:szCs w:val="22"/>
        </w:rPr>
        <w:t>La présente analyse constitue le premier cas d'application de ce modèle : la conversion du rez-de-chaussée du 179, Promenade du Portage en un salon-académie hybride — un concept combinant services de beauté professionnels et école de formation continue en coiffure, esthétique et disciplines connexes. Le modèle génère des revenus de deux sources simultanées : services à la clientèle à tarif réduit réalisés par des stagiaires supervisés, et droits de scolarité des personnes inscrites. Le modèle génère des revenus d’occupation pour l’espace actuellement vacant, et l’investissement requis pour le lancement peut être géré par des partenariats institutionnels et une mise en œuvre progressive.</w:t>
      </w:r>
    </w:p>
    <w:p>
      <w:pPr>
        <w:spacing w:after="200"/>
        <w:jc w:val="both"/>
      </w:pPr>
      <w:r>
        <w:rPr>
          <w:rFonts w:ascii="Georgia" w:cs="Georgia" w:eastAsia="Georgia" w:hAnsi="Georgia"/>
          <w:b w:val="false"/>
          <w:bCs w:val="false"/>
          <w:i w:val="false"/>
          <w:iCs w:val="false"/>
          <w:color w:val="3A4A5C"/>
          <w:sz w:val="22"/>
          <w:szCs w:val="22"/>
        </w:rPr>
        <w:t>Cette analyse s'inscrit dans une revue stratégique plus large couvrant les deux propriétés. Le salon-académie est le terrain d'essai — si le modèle fonctionne ici, la même approche pourra être reproduite pour d'autres espaces vacants ou sous-performants au sein du Campus. Les recommandations subséquentes porteront sur d'autres possibilités de partenariat, le programme de bureaux virtuels et le positionnement à long terme du Campus du Corridor de la Capitale comme pôle d'entrepreneuriat, de mentorat et de développement professionnel au cœur de Gatineau.</w:t>
      </w:r>
    </w:p>
    <w:p>
      <w:pPr>
        <w:pBdr>
          <w:bottom w:val="single" w:color="C9A84C" w:sz="6" w:space="1"/>
        </w:pBdr>
        <w:spacing w:after="200" w:before="200"/>
      </w:pPr>
    </w:p>
    <w:p>
      <w:r>
        <w:br w:type="page"/>
      </w:r>
    </w:p>
    <w:p>
      <w:pPr>
        <w:pStyle w:val="Heading1"/>
        <w:pBdr>
          <w:bottom w:val="single" w:color="C9A84C" w:sz="4" w:space="4"/>
        </w:pBdr>
        <w:spacing w:after="200" w:before="360"/>
      </w:pPr>
      <w:r>
        <w:rPr>
          <w:rFonts w:ascii="Georgia" w:cs="Georgia" w:eastAsia="Georgia" w:hAnsi="Georgia"/>
          <w:b/>
          <w:bCs/>
          <w:color w:val="0C1A2E"/>
          <w:sz w:val="26"/>
          <w:szCs w:val="26"/>
        </w:rPr>
        <w:t xml:space="preserve">2. Contexte de marché</w:t>
      </w:r>
    </w:p>
    <w:p>
      <w:pPr>
        <w:pStyle w:val="Heading2"/>
        <w:spacing w:after="160" w:before="280"/>
      </w:pPr>
      <w:r>
        <w:rPr>
          <w:rFonts w:ascii="Georgia" w:cs="Georgia" w:eastAsia="Georgia" w:hAnsi="Georgia"/>
          <w:b/>
          <w:bCs/>
          <w:color w:val="0C1A2E"/>
          <w:sz w:val="22"/>
          <w:szCs w:val="22"/>
        </w:rPr>
        <w:t xml:space="preserve">2.1 Profil démographique — RMR de Gatineau</w:t>
      </w:r>
    </w:p>
    <w:p>
      <w:pPr>
        <w:spacing w:after="200"/>
        <w:jc w:val="both"/>
      </w:pPr>
      <w:r>
        <w:rPr>
          <w:rFonts w:ascii="Georgia" w:cs="Georgia" w:eastAsia="Georgia" w:hAnsi="Georgia"/>
          <w:b w:val="false"/>
          <w:bCs w:val="false"/>
          <w:i w:val="false"/>
          <w:iCs w:val="false"/>
          <w:color w:val="3A4A5C"/>
          <w:sz w:val="22"/>
          <w:szCs w:val="22"/>
        </w:rPr>
        <w:t xml:space="preserve">La région métropolitaine de recensement (RMR) de Gatineau présente un profil démographique favorable aux services de soins personnels. Données clés de Statistique Canada (Recensement 2021)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0"/>
        <w:gridCol w:w="2672"/>
        <w:gridCol w:w="3000"/>
      </w:tblGrid>
      <w:tr>
        <w:trPr>
          <w:tblHeader/>
        </w:trPr>
        <w:tc>
          <w:tcPr>
            <w:tcW w:type="dxa" w:w="34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Indicateur</w:t>
            </w:r>
          </w:p>
        </w:tc>
        <w:tc>
          <w:tcPr>
            <w:tcW w:type="dxa" w:w="2672"/>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Valeur</w:t>
            </w:r>
          </w:p>
        </w:tc>
        <w:tc>
          <w:tcPr>
            <w:tcW w:type="dxa" w:w="30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Source</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Population (RMR)</w:t>
            </w:r>
          </w:p>
        </w:tc>
        <w:tc>
          <w:tcPr>
            <w:tcW w:type="dxa" w:w="2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291 041</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Statistique Canada, 2021</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Âge moyen</w:t>
            </w:r>
          </w:p>
        </w:tc>
        <w:tc>
          <w:tcPr>
            <w:tcW w:type="dxa" w:w="2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40,3 ans</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Statistique Canada, 2021</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Francophones</w:t>
            </w:r>
          </w:p>
        </w:tc>
        <w:tc>
          <w:tcPr>
            <w:tcW w:type="dxa" w:w="2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78,3 %</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Statistique Canada, 2021</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Anglophones</w:t>
            </w:r>
          </w:p>
        </w:tc>
        <w:tc>
          <w:tcPr>
            <w:tcW w:type="dxa" w:w="2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17,0 %</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Statistique Canada, 2021</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Bilingues</w:t>
            </w:r>
          </w:p>
        </w:tc>
        <w:tc>
          <w:tcPr>
            <w:tcW w:type="dxa" w:w="2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62,1 %</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Statistique Canada, 2021</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Revenu médian des ménages</w:t>
            </w:r>
          </w:p>
        </w:tc>
        <w:tc>
          <w:tcPr>
            <w:tcW w:type="dxa" w:w="2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92 000 $+</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Statistique Canada, 2021</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Population féminine 18–64 ans</w:t>
            </w:r>
          </w:p>
        </w:tc>
        <w:tc>
          <w:tcPr>
            <w:tcW w:type="dxa" w:w="2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~95 000</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Estimation Statistique Canada</w:t>
            </w:r>
          </w:p>
        </w:tc>
      </w:tr>
      <w:t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Croissance annuelle</w:t>
            </w:r>
          </w:p>
        </w:tc>
        <w:tc>
          <w:tcPr>
            <w:tcW w:type="dxa" w:w="2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1,2–1,5 %</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Ville de Gatineau</w:t>
            </w:r>
          </w:p>
        </w:tc>
      </w:tr>
    </w:tbl>
    <w:p>
      <w:pPr>
        <w:spacing w:after="80"/>
      </w:pPr>
    </w:p>
    <w:p>
      <w:pPr>
        <w:spacing w:after="200"/>
        <w:jc w:val="both"/>
      </w:pPr>
      <w:r>
        <w:rPr>
          <w:rFonts w:ascii="Georgia" w:cs="Georgia" w:eastAsia="Georgia" w:hAnsi="Georgia"/>
          <w:b/>
          <w:bCs/>
          <w:color w:val="0C1A2E"/>
          <w:sz w:val="22"/>
          <w:szCs w:val="22"/>
        </w:rPr>
        <w:t xml:space="preserve">Importance : </w:t>
      </w:r>
      <w:r>
        <w:rPr>
          <w:rFonts w:ascii="Georgia" w:cs="Georgia" w:eastAsia="Georgia" w:hAnsi="Georgia"/>
          <w:color w:val="3A4A5C"/>
          <w:sz w:val="22"/>
          <w:szCs w:val="22"/>
        </w:rPr>
        <w:t xml:space="preserve">La population de Gatineau est jeune, bilingue et dispose d’un revenu médian supérieur à la moyenne, soutenu par l’emploi au gouvernement fédéral. La population féminine de 18 à 64 ans (~95 000) représente le marché adressable principal. Le bilinguisme à 62 % signifie qu’un salon-académie bilingue couvre la totalité du marché.</w:t>
      </w:r>
    </w:p>
    <w:p>
      <w:pPr>
        <w:pStyle w:val="Heading2"/>
        <w:spacing w:after="160" w:before="280"/>
      </w:pPr>
      <w:r>
        <w:rPr>
          <w:rFonts w:ascii="Georgia" w:cs="Georgia" w:eastAsia="Georgia" w:hAnsi="Georgia"/>
          <w:b/>
          <w:bCs/>
          <w:color w:val="0C1A2E"/>
          <w:sz w:val="22"/>
          <w:szCs w:val="22"/>
        </w:rPr>
        <w:t xml:space="preserve">2.2 Perspectives d’emploi en beauté</w:t>
      </w:r>
    </w:p>
    <w:p>
      <w:pPr>
        <w:spacing w:after="200"/>
        <w:jc w:val="both"/>
      </w:pPr>
      <w:r>
        <w:rPr>
          <w:rFonts w:ascii="Georgia" w:cs="Georgia" w:eastAsia="Georgia" w:hAnsi="Georgia"/>
          <w:b w:val="false"/>
          <w:bCs w:val="false"/>
          <w:i w:val="false"/>
          <w:iCs w:val="false"/>
          <w:color w:val="3A4A5C"/>
          <w:sz w:val="22"/>
          <w:szCs w:val="22"/>
        </w:rPr>
        <w:t xml:space="preserve">Emploi-Québec classe la coiffure et l’esthétique comme secteurs à perspectives d’emploi modérées à favorables pour l’Outaouais (2024–2026)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3036"/>
        <w:gridCol w:w="3036"/>
      </w:tblGrid>
      <w:tr>
        <w:trPr>
          <w:tblHeader/>
        </w:trPr>
        <w:tc>
          <w:tcPr>
            <w:tcW w:type="dxa" w:w="30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Indicateur</w:t>
            </w:r>
          </w:p>
        </w:tc>
        <w:tc>
          <w:tcPr>
            <w:tcW w:type="dxa" w:w="3036"/>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Coiffure</w:t>
            </w:r>
          </w:p>
        </w:tc>
        <w:tc>
          <w:tcPr>
            <w:tcW w:type="dxa" w:w="3036"/>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Esthétique</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Salaire annuel moyen</w:t>
            </w:r>
          </w:p>
        </w:tc>
        <w:tc>
          <w:tcPr>
            <w:tcW w:type="dxa" w:w="303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42 519 $</w:t>
            </w:r>
          </w:p>
        </w:tc>
        <w:tc>
          <w:tcPr>
            <w:tcW w:type="dxa" w:w="303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46 306 $</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Perspectives (Outaouais)</w:t>
            </w:r>
          </w:p>
        </w:tc>
        <w:tc>
          <w:tcPr>
            <w:tcW w:type="dxa" w:w="303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Modérées</w:t>
            </w:r>
          </w:p>
        </w:tc>
        <w:tc>
          <w:tcPr>
            <w:tcW w:type="dxa" w:w="303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Modérées-favorables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Parcours de certification</w:t>
            </w:r>
          </w:p>
        </w:tc>
        <w:tc>
          <w:tcPr>
            <w:tcW w:type="dxa" w:w="303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DEP (1 455 h) + PAMT</w:t>
            </w:r>
          </w:p>
        </w:tc>
        <w:tc>
          <w:tcPr>
            <w:tcW w:type="dxa" w:w="303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DEP (900 h) + PAMT</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Facteur de demande</w:t>
            </w:r>
          </w:p>
        </w:tc>
        <w:tc>
          <w:tcPr>
            <w:tcW w:type="dxa" w:w="303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Remplacement + croissance</w:t>
            </w:r>
          </w:p>
        </w:tc>
        <w:tc>
          <w:tcPr>
            <w:tcW w:type="dxa" w:w="303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Tendance bien-être + esthétique médicale</w:t>
            </w:r>
          </w:p>
        </w:tc>
      </w:tr>
    </w:tbl>
    <w:p>
      <w:pPr>
        <w:spacing w:after="80"/>
      </w:pPr>
    </w:p>
    <w:p>
      <w:pPr>
        <w:spacing w:after="200"/>
        <w:jc w:val="both"/>
      </w:pPr>
      <w:r>
        <w:rPr>
          <w:rFonts w:ascii="Georgia" w:cs="Georgia" w:eastAsia="Georgia" w:hAnsi="Georgia"/>
          <w:b w:val="false"/>
          <w:bCs w:val="false"/>
          <w:i w:val="false"/>
          <w:iCs w:val="false"/>
          <w:color w:val="3A4A5C"/>
          <w:sz w:val="22"/>
          <w:szCs w:val="22"/>
        </w:rPr>
        <w:t xml:space="preserve">Le secteur de l’esthétique connaît une croissance plus forte que la coiffure, portée par la demande croissante en esthétique médicale, traitements au laser et services de bien-être. Cela appuie un modèle hybride qui met l’accent sur la formation en esthétique aux côtés de la coiffure.</w:t>
      </w:r>
    </w:p>
    <w:p>
      <w:pPr>
        <w:pStyle w:val="Heading2"/>
        <w:spacing w:after="160" w:before="280"/>
      </w:pPr>
      <w:r>
        <w:rPr>
          <w:rFonts w:ascii="Georgia" w:cs="Georgia" w:eastAsia="Georgia" w:hAnsi="Georgia"/>
          <w:b/>
          <w:bCs/>
          <w:color w:val="0C1A2E"/>
          <w:sz w:val="22"/>
          <w:szCs w:val="22"/>
        </w:rPr>
        <w:t xml:space="preserve">2.3 Paysage concurrentiel — Gatineau/Ottawa</w:t>
      </w:r>
    </w:p>
    <w:p>
      <w:pPr>
        <w:spacing w:after="200"/>
        <w:jc w:val="both"/>
      </w:pPr>
      <w:r>
        <w:rPr>
          <w:rFonts w:ascii="Georgia" w:cs="Georgia" w:eastAsia="Georgia" w:hAnsi="Georgia"/>
          <w:b w:val="false"/>
          <w:bCs w:val="false"/>
          <w:i w:val="false"/>
          <w:iCs w:val="false"/>
          <w:color w:val="3A4A5C"/>
          <w:sz w:val="22"/>
          <w:szCs w:val="22"/>
        </w:rPr>
        <w:t xml:space="preserve">L’environnement concurrentiel révèle une lacune importante : aucun salon-académie hybride n’opère actuellement dans le centre-ville de Gatineau. Les concurrents se répartissent en deux catégories distinctes — salons purs et écoles pures — sans chevauchement.</w:t>
      </w:r>
    </w:p>
    <w:p>
      <w:pPr>
        <w:pStyle w:val="Heading3"/>
        <w:spacing w:after="120" w:before="200"/>
      </w:pPr>
      <w:r>
        <w:rPr>
          <w:rFonts w:ascii="Georgia" w:cs="Georgia" w:eastAsia="Georgia" w:hAnsi="Georgia"/>
          <w:b/>
          <w:bCs/>
          <w:color w:val="3A4A5C"/>
          <w:sz w:val="20"/>
          <w:szCs w:val="20"/>
        </w:rPr>
        <w:t xml:space="preserve">Établissements de formation existants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2072"/>
        <w:gridCol w:w="2400"/>
        <w:gridCol w:w="2400"/>
      </w:tblGrid>
      <w:tr>
        <w:trPr>
          <w:tblHeader/>
        </w:trPr>
        <w:tc>
          <w:tcPr>
            <w:tcW w:type="dxa" w:w="22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Établissement</w:t>
            </w:r>
          </w:p>
        </w:tc>
        <w:tc>
          <w:tcPr>
            <w:tcW w:type="dxa" w:w="2072"/>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Emplacement</w:t>
            </w:r>
          </w:p>
        </w:tc>
        <w:tc>
          <w:tcPr>
            <w:tcW w:type="dxa" w:w="24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Programmes</w:t>
            </w:r>
          </w:p>
        </w:tc>
        <w:tc>
          <w:tcPr>
            <w:tcW w:type="dxa" w:w="24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Frais de scolarité</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CFP Compétences Outaouais</w:t>
            </w:r>
          </w:p>
        </w:tc>
        <w:tc>
          <w:tcPr>
            <w:tcW w:type="dxa" w:w="2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Gatineau (secteur Hull)</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DEP Coiffure, DEP Esthétique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27 198 $ (14 mois)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Académie Edith Serei</w:t>
            </w:r>
          </w:p>
        </w:tc>
        <w:tc>
          <w:tcPr>
            <w:tcW w:type="dxa" w:w="2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Gatineau</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Formation continue, esthétique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~3 000–6 000 $</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Versailles Academy</w:t>
            </w:r>
          </w:p>
        </w:tc>
        <w:tc>
          <w:tcPr>
            <w:tcW w:type="dxa" w:w="2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Ottawa</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Coiffure, esthétique, barbier</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6 500–10 000 $</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St-Laurent Académie</w:t>
            </w:r>
          </w:p>
        </w:tc>
        <w:tc>
          <w:tcPr>
            <w:tcW w:type="dxa" w:w="2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Montréal</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Esthétique (intensif 6 mois)</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5 404 $</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Canadian Beauty College</w:t>
            </w:r>
          </w:p>
        </w:tc>
        <w:tc>
          <w:tcPr>
            <w:tcW w:type="dxa" w:w="2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Région d’Ottawa</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Programmes multiples</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6 500–12 000 $</w:t>
            </w:r>
          </w:p>
        </w:tc>
      </w:tr>
    </w:tbl>
    <w:p>
      <w:pPr>
        <w:spacing w:after="80"/>
      </w:pPr>
    </w:p>
    <w:p>
      <w:pPr>
        <w:pStyle w:val="Heading3"/>
        <w:spacing w:after="120" w:before="200"/>
      </w:pPr>
      <w:r>
        <w:rPr>
          <w:rFonts w:ascii="Georgia" w:cs="Georgia" w:eastAsia="Georgia" w:hAnsi="Georgia"/>
          <w:b/>
          <w:bCs/>
          <w:color w:val="3A4A5C"/>
          <w:sz w:val="20"/>
          <w:szCs w:val="20"/>
        </w:rPr>
        <w:t xml:space="preserve">Salons clés près du 179 Promenade du Portage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3072"/>
        <w:gridCol w:w="3500"/>
      </w:tblGrid>
      <w:tr>
        <w:trPr>
          <w:tblHeader/>
        </w:trPr>
        <w:tc>
          <w:tcPr>
            <w:tcW w:type="dxa" w:w="25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Salon</w:t>
            </w:r>
          </w:p>
        </w:tc>
        <w:tc>
          <w:tcPr>
            <w:tcW w:type="dxa" w:w="3072"/>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Emplacement</w:t>
            </w:r>
          </w:p>
        </w:tc>
        <w:tc>
          <w:tcPr>
            <w:tcW w:type="dxa" w:w="35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Services</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Salon Arthur</w:t>
            </w:r>
          </w:p>
        </w:tc>
        <w:tc>
          <w:tcPr>
            <w:tcW w:type="dxa" w:w="3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Place du Portage (adjacent)</w:t>
            </w:r>
          </w:p>
        </w:tc>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Salon complet dans le complexe gouvernemental</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Studio 157</w:t>
            </w:r>
          </w:p>
        </w:tc>
        <w:tc>
          <w:tcPr>
            <w:tcW w:type="dxa" w:w="3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348, rue Main / 10, allée de Hambourg</w:t>
            </w:r>
          </w:p>
        </w:tc>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Spa urbain : esthétique, massage, injectables, laser</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Makiage &amp; Koiffure</w:t>
            </w:r>
          </w:p>
        </w:tc>
        <w:tc>
          <w:tcPr>
            <w:tcW w:type="dxa" w:w="3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Gatineau</w:t>
            </w:r>
          </w:p>
        </w:tc>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Coiffure, maquillage, esthétique, endermologie, barbier</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Figaro Figar-Elle</w:t>
            </w:r>
          </w:p>
        </w:tc>
        <w:tc>
          <w:tcPr>
            <w:tcW w:type="dxa" w:w="30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Gatineau</w:t>
            </w:r>
          </w:p>
        </w:tc>
        <w:tc>
          <w:tcPr>
            <w:tcW w:type="dxa" w:w="3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Services de salon traditionnels</w:t>
            </w:r>
          </w:p>
        </w:tc>
      </w:tr>
    </w:tbl>
    <w:p>
      <w:pPr>
        <w:spacing w:after="80"/>
      </w:pPr>
    </w:p>
    <w:p>
      <w:pPr>
        <w:spacing w:after="200"/>
        <w:jc w:val="both"/>
      </w:pPr>
      <w:r>
        <w:rPr>
          <w:rFonts w:ascii="Georgia" w:cs="Georgia" w:eastAsia="Georgia" w:hAnsi="Georgia"/>
          <w:b/>
          <w:bCs/>
          <w:color w:val="0C1A2E"/>
          <w:sz w:val="22"/>
          <w:szCs w:val="22"/>
        </w:rPr>
        <w:t xml:space="preserve">Lacune identifiée : </w:t>
      </w:r>
      <w:r>
        <w:rPr>
          <w:rFonts w:ascii="Georgia" w:cs="Georgia" w:eastAsia="Georgia" w:hAnsi="Georgia"/>
          <w:color w:val="3A4A5C"/>
          <w:sz w:val="22"/>
          <w:szCs w:val="22"/>
        </w:rPr>
        <w:t xml:space="preserve">Aucun concurrent dans le centre-ville de Gatineau ne combine formation et services à la clientèle sous un même toit. Le modèle hybride serait une première dans le corridor de la Promenade du Portage.</w:t>
      </w:r>
    </w:p>
    <w:p>
      <w:pPr>
        <w:pBdr>
          <w:bottom w:val="single" w:color="C9A84C" w:sz="6" w:space="1"/>
        </w:pBdr>
        <w:spacing w:after="200" w:before="200"/>
      </w:pPr>
    </w:p>
    <w:p>
      <w:r>
        <w:br w:type="page"/>
      </w:r>
    </w:p>
    <w:p>
      <w:pPr>
        <w:pStyle w:val="Heading1"/>
        <w:pBdr>
          <w:bottom w:val="single" w:color="C9A84C" w:sz="4" w:space="4"/>
        </w:pBdr>
        <w:spacing w:after="200" w:before="360"/>
      </w:pPr>
      <w:r>
        <w:rPr>
          <w:rFonts w:ascii="Georgia" w:cs="Georgia" w:eastAsia="Georgia" w:hAnsi="Georgia"/>
          <w:b/>
          <w:bCs/>
          <w:color w:val="0C1A2E"/>
          <w:sz w:val="26"/>
          <w:szCs w:val="26"/>
        </w:rPr>
        <w:t xml:space="preserve">3. Le modèle hybride</w:t>
      </w:r>
    </w:p>
    <w:p>
      <w:pPr>
        <w:spacing w:after="200"/>
        <w:jc w:val="both"/>
      </w:pPr>
      <w:r>
        <w:rPr>
          <w:rFonts w:ascii="Georgia" w:cs="Georgia" w:eastAsia="Georgia" w:hAnsi="Georgia"/>
          <w:b w:val="false"/>
          <w:bCs w:val="false"/>
          <w:i w:val="false"/>
          <w:iCs w:val="false"/>
          <w:color w:val="3A4A5C"/>
          <w:sz w:val="22"/>
          <w:szCs w:val="22"/>
        </w:rPr>
        <w:t xml:space="preserve">Le salon-académie hybride repose sur un principe éprouvé dans le monde entier : des stagiaires supervisés offrent des services professionnels au public à tarif réduit (généralement 30 à 50 % sous le prix du marché), tout en payant des droits de scolarité pour acquérir une expérience avec de vrais clients. L’exploitant génère des revenus des deux côtés de la transaction. La superficie confirmée du rez-de-chaussée, environ 1 200 pieds carrés, permet d’aménager de 4 à 6 postes de travail — une configuration compacte mais viable pour une académie de formation accueillant de 6 à 8 stagiaires par cycle.</w:t>
      </w:r>
    </w:p>
    <w:p>
      <w:pPr>
        <w:pStyle w:val="Heading2"/>
        <w:spacing w:after="160" w:before="280"/>
      </w:pPr>
      <w:r>
        <w:rPr>
          <w:rFonts w:ascii="Georgia" w:cs="Georgia" w:eastAsia="Georgia" w:hAnsi="Georgia"/>
          <w:b/>
          <w:bCs/>
          <w:color w:val="0C1A2E"/>
          <w:sz w:val="22"/>
          <w:szCs w:val="22"/>
        </w:rPr>
        <w:t xml:space="preserve">3.1 Modèle de revenus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3872"/>
        <w:gridCol w:w="2600"/>
      </w:tblGrid>
      <w:tr>
        <w:trPr>
          <w:tblHeader/>
        </w:trPr>
        <w:tc>
          <w:tcPr>
            <w:tcW w:type="dxa" w:w="26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Source de revenus</w:t>
            </w:r>
          </w:p>
        </w:tc>
        <w:tc>
          <w:tcPr>
            <w:tcW w:type="dxa" w:w="3872"/>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Description</w:t>
            </w:r>
          </w:p>
        </w:tc>
        <w:tc>
          <w:tcPr>
            <w:tcW w:type="dxa" w:w="26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Estimation annuelle</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Droits de scolarité (6–8 stagiaires)</w:t>
            </w:r>
          </w:p>
        </w:tc>
        <w:tc>
          <w:tcPr>
            <w:tcW w:type="dxa" w:w="38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Programmes de formation continue : cycles de 3–6 mois à 3 500–5 500 $/stagiaire</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42 000–88 000 $</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Services à la clientèle (tarif réduit)</w:t>
            </w:r>
          </w:p>
        </w:tc>
        <w:tc>
          <w:tcPr>
            <w:tcW w:type="dxa" w:w="38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Services supervisés à 30–50 % sous le prix du marché</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36 000–54 000 $</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Vente de produits</w:t>
            </w:r>
          </w:p>
        </w:tc>
        <w:tc>
          <w:tcPr>
            <w:tcW w:type="dxa" w:w="38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Produits de beauté professionnels vendus aux clients et stagiaires</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8 000–16 000 $</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Ateliers spécialisés</w:t>
            </w:r>
          </w:p>
        </w:tc>
        <w:tc>
          <w:tcPr>
            <w:tcW w:type="dxa" w:w="38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Intensifs de fin de semaine : esthétique médicale, mariages, techniques spécialisées</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6 000–12 000 $</w:t>
            </w:r>
          </w:p>
        </w:tc>
      </w:tr>
    </w:tbl>
    <w:p>
      <w:pPr>
        <w:spacing w:after="80"/>
      </w:pPr>
    </w:p>
    <w:p>
      <w:pPr>
        <w:spacing w:after="200"/>
        <w:jc w:val="both"/>
      </w:pPr>
      <w:r>
        <w:rPr>
          <w:rFonts w:ascii="Georgia" w:cs="Georgia" w:eastAsia="Georgia" w:hAnsi="Georgia"/>
          <w:b/>
          <w:bCs/>
          <w:color w:val="0C1A2E"/>
          <w:sz w:val="22"/>
          <w:szCs w:val="22"/>
        </w:rPr>
        <w:t xml:space="preserve">Revenus annuels projetés : 92 000 $ à 170 000 $</w:t>
      </w:r>
    </w:p>
    <w:p>
      <w:pPr>
        <w:pStyle w:val="Heading2"/>
        <w:spacing w:after="160" w:before="280"/>
      </w:pPr>
      <w:r>
        <w:rPr>
          <w:rFonts w:ascii="Georgia" w:cs="Georgia" w:eastAsia="Georgia" w:hAnsi="Georgia"/>
          <w:b/>
          <w:bCs/>
          <w:color w:val="0C1A2E"/>
          <w:sz w:val="22"/>
          <w:szCs w:val="22"/>
        </w:rPr>
        <w:t xml:space="preserve">3.2 Modèle de coûts (loyer de 4 800 $/mois tout compris)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72"/>
        <w:gridCol w:w="3300"/>
      </w:tblGrid>
      <w:tr>
        <w:trPr>
          <w:tblHeader/>
        </w:trPr>
        <w:tc>
          <w:tcPr>
            <w:tcW w:type="dxa" w:w="25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Dépense</w:t>
            </w:r>
          </w:p>
        </w:tc>
        <w:tc>
          <w:tcPr>
            <w:tcW w:type="dxa" w:w="16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Mensuel</w:t>
            </w:r>
          </w:p>
        </w:tc>
        <w:tc>
          <w:tcPr>
            <w:tcW w:type="dxa" w:w="1672"/>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Annuel</w:t>
            </w:r>
          </w:p>
        </w:tc>
        <w:tc>
          <w:tcPr>
            <w:tcW w:type="dxa" w:w="33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Notes</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Loyer (tout compris)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4 800 $</w:t>
            </w:r>
          </w:p>
        </w:tc>
        <w:tc>
          <w:tcPr>
            <w:tcW w:type="dxa" w:w="1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57 600 $</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Conditions actuelles du bail, chauffage inclus</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Salaire instructeur (1 TP)</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3 800 $</w:t>
            </w:r>
          </w:p>
        </w:tc>
        <w:tc>
          <w:tcPr>
            <w:tcW w:type="dxa" w:w="1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45 600 $</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Coiffeur/esthéticien diplômé</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Soutien à temps partiel (1 TP)</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1 500 $</w:t>
            </w:r>
          </w:p>
        </w:tc>
        <w:tc>
          <w:tcPr>
            <w:tcW w:type="dxa" w:w="1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18 000 $</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Administration + réception</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Fournitures et produits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900 $</w:t>
            </w:r>
          </w:p>
        </w:tc>
        <w:tc>
          <w:tcPr>
            <w:tcW w:type="dxa" w:w="1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10 800 $</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Produits professionnels, jetables</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Assurances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350 $</w:t>
            </w:r>
          </w:p>
        </w:tc>
        <w:tc>
          <w:tcPr>
            <w:tcW w:type="dxa" w:w="1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4 200 $</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Responsabilité civile + E&amp;O</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Marketing</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400 $</w:t>
            </w:r>
          </w:p>
        </w:tc>
        <w:tc>
          <w:tcPr>
            <w:tcW w:type="dxa" w:w="1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4 800 $</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Marketing numérique, publicité locale</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Équipement/entretien</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400 $</w:t>
            </w:r>
          </w:p>
        </w:tc>
        <w:tc>
          <w:tcPr>
            <w:tcW w:type="dxa" w:w="1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4 800 $</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4–6 postes, entretien de l’équipement</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Provision pour imprévus (5 %)</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575 $</w:t>
            </w:r>
          </w:p>
        </w:tc>
        <w:tc>
          <w:tcPr>
            <w:tcW w:type="dxa" w:w="16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6 900 $</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color w:val="3A4A5C"/>
                <w:sz w:val="19"/>
                <w:szCs w:val="19"/>
              </w:rPr>
              <w:t xml:space="preserve">Dépenses imprévues</w:t>
            </w:r>
          </w:p>
        </w:tc>
      </w:tr>
    </w:tbl>
    <w:p>
      <w:pPr>
        <w:spacing w:after="80"/>
      </w:pPr>
    </w:p>
    <w:p>
      <w:pPr>
        <w:spacing w:after="200"/>
        <w:jc w:val="both"/>
      </w:pPr>
      <w:r>
        <w:rPr>
          <w:rFonts w:ascii="Georgia" w:cs="Georgia" w:eastAsia="Georgia" w:hAnsi="Georgia"/>
          <w:b/>
          <w:bCs/>
          <w:color w:val="0C1A2E"/>
          <w:sz w:val="22"/>
          <w:szCs w:val="22"/>
        </w:rPr>
        <w:t xml:space="preserve">Coût d’exploitation annuel estimé : 148 500 $</w:t>
      </w:r>
    </w:p>
    <w:p>
      <w:pPr>
        <w:spacing w:after="200"/>
        <w:jc w:val="both"/>
      </w:pPr>
      <w:r>
        <w:rPr>
          <w:rFonts w:ascii="Georgia" w:cs="Georgia" w:eastAsia="Georgia" w:hAnsi="Georgia"/>
          <w:b/>
          <w:bCs/>
          <w:color w:val="0C1A2E"/>
          <w:sz w:val="22"/>
          <w:szCs w:val="22"/>
        </w:rPr>
        <w:t xml:space="preserve">Seuil de rentabilité : </w:t>
      </w:r>
      <w:r>
        <w:rPr>
          <w:rFonts w:ascii="Georgia" w:cs="Georgia" w:eastAsia="Georgia" w:hAnsi="Georgia"/>
          <w:color w:val="3A4A5C"/>
          <w:sz w:val="22"/>
          <w:szCs w:val="22"/>
        </w:rPr>
        <w:t>Le modèle atteint le seuil de rentabilité avec environ 6 stagiaires par cycle et un achalandage client modéré. À pleine capacité (8 stagiaires, flux client régulier), le bénéfice net d’exploitation projeté atteint 20 000 $ à 40 000 $ annuellement.</w:t>
      </w:r>
    </w:p>
    <w:p>
      <w:pPr>
        <w:pStyle w:val="Heading2"/>
        <w:spacing w:after="160" w:before="280"/>
      </w:pPr>
      <w:r>
        <w:rPr>
          <w:rFonts w:ascii="Georgia" w:cs="Georgia" w:eastAsia="Georgia" w:hAnsi="Georgia"/>
          <w:b/>
          <w:bCs/>
          <w:color w:val="0C1A2E"/>
          <w:sz w:val="22"/>
          <w:szCs w:val="22"/>
        </w:rPr>
        <w:t xml:space="preserve">3.3 Proposition de valeur pour la clientèle</w:t>
      </w:r>
    </w:p>
    <w:p>
      <w:pPr>
        <w:pStyle w:val="ListParagraph"/>
        <w:numPr>
          <w:ilvl w:val="0"/>
          <w:numId w:val="2"/>
        </w:numPr>
        <w:spacing w:after="100"/>
      </w:pPr>
      <w:r>
        <w:rPr>
          <w:rFonts w:ascii="Georgia" w:cs="Georgia" w:eastAsia="Georgia" w:hAnsi="Georgia"/>
          <w:color w:val="3A4A5C"/>
          <w:sz w:val="22"/>
          <w:szCs w:val="22"/>
        </w:rPr>
        <w:t xml:space="preserve">Coupes professionnelles à 15–25 $ (contre 35–60 $ en salon au prix du marché)</w:t>
      </w:r>
    </w:p>
    <w:p>
      <w:pPr>
        <w:pStyle w:val="ListParagraph"/>
        <w:numPr>
          <w:ilvl w:val="0"/>
          <w:numId w:val="2"/>
        </w:numPr>
        <w:spacing w:after="100"/>
      </w:pPr>
      <w:r>
        <w:rPr>
          <w:rFonts w:ascii="Georgia" w:cs="Georgia" w:eastAsia="Georgia" w:hAnsi="Georgia"/>
          <w:color w:val="3A4A5C"/>
          <w:sz w:val="22"/>
          <w:szCs w:val="22"/>
        </w:rPr>
        <w:t xml:space="preserve">Soins du visage à 30–45 $ (contre 65–120 $ dans les spas comme Studio 157)</w:t>
      </w:r>
    </w:p>
    <w:p>
      <w:pPr>
        <w:pStyle w:val="ListParagraph"/>
        <w:numPr>
          <w:ilvl w:val="0"/>
          <w:numId w:val="2"/>
        </w:numPr>
        <w:spacing w:after="100"/>
      </w:pPr>
      <w:r>
        <w:rPr>
          <w:rFonts w:ascii="Georgia" w:cs="Georgia" w:eastAsia="Georgia" w:hAnsi="Georgia"/>
          <w:color w:val="3A4A5C"/>
          <w:sz w:val="22"/>
          <w:szCs w:val="22"/>
        </w:rPr>
        <w:t xml:space="preserve">Tous les services supervisés par un professionnel diplômé</w:t>
      </w:r>
    </w:p>
    <w:p>
      <w:pPr>
        <w:pStyle w:val="ListParagraph"/>
        <w:numPr>
          <w:ilvl w:val="0"/>
          <w:numId w:val="2"/>
        </w:numPr>
        <w:spacing w:after="100"/>
      </w:pPr>
      <w:r>
        <w:rPr>
          <w:rFonts w:ascii="Georgia" w:cs="Georgia" w:eastAsia="Georgia" w:hAnsi="Georgia"/>
          <w:color w:val="3A4A5C"/>
          <w:sz w:val="22"/>
          <w:szCs w:val="22"/>
        </w:rPr>
        <w:t xml:space="preserve">Service bilingue en anglais et en français</w:t>
      </w:r>
    </w:p>
    <w:p>
      <w:pPr>
        <w:pStyle w:val="ListParagraph"/>
        <w:numPr>
          <w:ilvl w:val="0"/>
          <w:numId w:val="2"/>
        </w:numPr>
        <w:spacing w:after="100"/>
      </w:pPr>
      <w:r>
        <w:rPr>
          <w:rFonts w:ascii="Georgia" w:cs="Georgia" w:eastAsia="Georgia" w:hAnsi="Georgia"/>
          <w:color w:val="3A4A5C"/>
          <w:sz w:val="22"/>
          <w:szCs w:val="22"/>
        </w:rPr>
        <w:t xml:space="preserve">Emplacement au centre-ville accessible par le STO et le Rapibus</w:t>
      </w:r>
    </w:p>
    <w:p>
      <w:pPr>
        <w:spacing w:after="200"/>
        <w:jc w:val="both"/>
      </w:pPr>
      <w:r>
        <w:rPr>
          <w:rFonts w:ascii="Georgia" w:cs="Georgia" w:eastAsia="Georgia" w:hAnsi="Georgia"/>
          <w:b w:val="false"/>
          <w:bCs w:val="false"/>
          <w:i w:val="false"/>
          <w:iCs w:val="false"/>
          <w:color w:val="3A4A5C"/>
          <w:sz w:val="22"/>
          <w:szCs w:val="22"/>
        </w:rPr>
        <w:t xml:space="preserve">Ce modèle tarifaire est particulièrement attrayant dans le contexte économique actuel. Le corridor de la Promenade du Portage dessert une importante main-d’œuvre gouvernementale — des employés qui valorisent la commodité et l’accessibilité financière. Des services professionnels à tarif réduit à distance de marche des bureaux fédéraux créent un bassin de clientèle intégré.</w:t>
      </w:r>
    </w:p>
    <w:p>
      <w:pPr>
        <w:pBdr>
          <w:bottom w:val="single" w:color="C9A84C" w:sz="6" w:space="1"/>
        </w:pBdr>
        <w:spacing w:after="200" w:before="200"/>
      </w:pPr>
    </w:p>
    <w:p>
      <w:r>
        <w:br w:type="page"/>
      </w:r>
    </w:p>
    <w:p>
      <w:pPr>
        <w:pStyle w:val="Heading1"/>
        <w:pBdr>
          <w:bottom w:val="single" w:color="C9A84C" w:sz="4" w:space="4"/>
        </w:pBdr>
        <w:spacing w:after="200" w:before="360"/>
        <w:pageBreakBefore/>
      </w:pPr>
      <w:r>
        <w:rPr>
          <w:rFonts w:ascii="Georgia" w:cs="Georgia" w:eastAsia="Georgia" w:hAnsi="Georgia"/>
          <w:b/>
          <w:bCs/>
          <w:color w:val="0C1A2E"/>
          <w:sz w:val="26"/>
          <w:szCs w:val="26"/>
        </w:rPr>
        <w:t>4. Facteurs de risque et atténuations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472"/>
      </w:tblGrid>
      <w:tr>
        <w:trPr>
          <w:tblHeader/>
        </w:trPr>
        <w:tc>
          <w:tcPr>
            <w:tcW w:type="dxa" w:w="22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Risque</w:t>
            </w:r>
          </w:p>
        </w:tc>
        <w:tc>
          <w:tcPr>
            <w:tcW w:type="dxa" w:w="12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Impact</w:t>
            </w:r>
          </w:p>
        </w:tc>
        <w:tc>
          <w:tcPr>
            <w:tcW w:type="dxa" w:w="1200"/>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Probabilité</w:t>
            </w:r>
          </w:p>
        </w:tc>
        <w:tc>
          <w:tcPr>
            <w:tcW w:type="dxa" w:w="4472"/>
            <w:tcBorders>
              <w:top w:val="single" w:color="CCCCCC" w:sz="1"/>
              <w:left w:val="single" w:color="CCCCCC" w:sz="1"/>
              <w:bottom w:val="single" w:color="CCCCCC" w:sz="1"/>
              <w:right w:val="single" w:color="CCCCCC" w:sz="1"/>
            </w:tcBorders>
            <w:shd w:fill="0C1A2E" w:val="clear"/>
            <w:tcMar>
              <w:top w:type="dxa" w:w="60"/>
              <w:left w:type="dxa" w:w="100"/>
              <w:bottom w:type="dxa" w:w="60"/>
              <w:right w:type="dxa" w:w="100"/>
            </w:tcMar>
          </w:tcPr>
          <w:p>
            <w:r>
              <w:rPr>
                <w:rFonts w:ascii="Georgia" w:cs="Georgia" w:eastAsia="Georgia" w:hAnsi="Georgia"/>
                <w:b/>
                <w:bCs/>
                <w:color w:val="FFFFFF"/>
                <w:sz w:val="19"/>
                <w:szCs w:val="19"/>
              </w:rPr>
              <w:t xml:space="preserve">Atténuation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A4A5C"/>
                <w:sz w:val="19"/>
                <w:szCs w:val="19"/>
              </w:rPr>
              <w:t xml:space="preserve">Capacité limitée (1 200 pi²)</w:t>
            </w:r>
          </w:p>
        </w:tc>
        <w:tc>
          <w:tcPr>
            <w:tcW w:type="dxa" w:w="1200"/>
            <w:tcBorders>
              <w:top w:val="single" w:color="CCCCCC" w:sz="1"/>
              <w:left w:val="single" w:color="CCCCCC" w:sz="1"/>
              <w:bottom w:val="single" w:color="CCCCCC" w:sz="1"/>
              <w:right w:val="single" w:color="CCCCCC" w:sz="1"/>
            </w:tcBorders>
            <w:shd w:fill="E68A00" w:val="clear"/>
            <w:tcMar>
              <w:top w:type="dxa" w:w="50"/>
              <w:left w:type="dxa" w:w="100"/>
              <w:bottom w:type="dxa" w:w="50"/>
              <w:right w:type="dxa" w:w="100"/>
            </w:tcMar>
          </w:tcPr>
          <w:p>
            <w:r>
              <w:rPr>
                <w:rFonts w:ascii="Georgia" w:cs="Georgia" w:eastAsia="Georgia" w:hAnsi="Georgia"/>
                <w:b w:val="false"/>
                <w:bCs w:val="false"/>
                <w:color w:val="3A4A5C"/>
                <w:sz w:val="19"/>
                <w:szCs w:val="19"/>
              </w:rPr>
              <w:t xml:space="preserve">Modéré</w:t>
            </w:r>
          </w:p>
        </w:tc>
        <w:tc>
          <w:tcPr>
            <w:tcW w:type="dxa" w:w="1200"/>
            <w:tcBorders>
              <w:top w:val="single" w:color="CCCCCC" w:sz="1"/>
              <w:left w:val="single" w:color="CCCCCC" w:sz="1"/>
              <w:bottom w:val="single" w:color="CCCCCC" w:sz="1"/>
              <w:right w:val="single" w:color="CCCCCC" w:sz="1"/>
            </w:tcBorders>
            <w:shd w:fill="2E7D32" w:val="clear"/>
            <w:tcMar>
              <w:top w:type="dxa" w:w="50"/>
              <w:left w:type="dxa" w:w="100"/>
              <w:bottom w:type="dxa" w:w="50"/>
              <w:right w:type="dxa" w:w="100"/>
            </w:tcMar>
          </w:tcPr>
          <w:p>
            <w:r>
              <w:rPr>
                <w:rFonts w:ascii="Georgia" w:cs="Georgia" w:eastAsia="Georgia" w:hAnsi="Georgia"/>
                <w:b w:val="false"/>
                <w:bCs w:val="false"/>
                <w:color w:val="FFFFFF"/>
                <w:sz w:val="19"/>
                <w:szCs w:val="19"/>
              </w:rPr>
              <w:t xml:space="preserve">Faible</w:t>
            </w:r>
          </w:p>
        </w:tc>
        <w:tc>
          <w:tcPr>
            <w:tcW w:type="dxa" w:w="44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A4A5C"/>
                <w:sz w:val="19"/>
                <w:szCs w:val="19"/>
              </w:rPr>
              <w:t xml:space="preserve">Modèle compact à 4–6 postes; extensible aux étages si prouvé</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A4A5C"/>
                <w:sz w:val="19"/>
                <w:szCs w:val="19"/>
              </w:rPr>
              <w:t xml:space="preserve">Délais réglementaires (parcours DEP)</w:t>
            </w:r>
          </w:p>
        </w:tc>
        <w:tc>
          <w:tcPr>
            <w:tcW w:type="dxa" w:w="1200"/>
            <w:tcBorders>
              <w:top w:val="single" w:color="CCCCCC" w:sz="1"/>
              <w:left w:val="single" w:color="CCCCCC" w:sz="1"/>
              <w:bottom w:val="single" w:color="CCCCCC" w:sz="1"/>
              <w:right w:val="single" w:color="CCCCCC" w:sz="1"/>
            </w:tcBorders>
            <w:shd w:fill="CC3333" w:val="clear"/>
            <w:tcMar>
              <w:top w:type="dxa" w:w="50"/>
              <w:left w:type="dxa" w:w="100"/>
              <w:bottom w:type="dxa" w:w="50"/>
              <w:right w:type="dxa" w:w="100"/>
            </w:tcMar>
          </w:tcPr>
          <w:p>
            <w:r>
              <w:rPr>
                <w:rFonts w:ascii="Georgia" w:cs="Georgia" w:eastAsia="Georgia" w:hAnsi="Georgia"/>
                <w:b w:val="false"/>
                <w:bCs w:val="false"/>
                <w:color w:val="FFFFFF"/>
                <w:sz w:val="19"/>
                <w:szCs w:val="19"/>
              </w:rPr>
              <w:t xml:space="preserve">Élevé</w:t>
            </w:r>
          </w:p>
        </w:tc>
        <w:tc>
          <w:tcPr>
            <w:tcW w:type="dxa" w:w="1200"/>
            <w:tcBorders>
              <w:top w:val="single" w:color="CCCCCC" w:sz="1"/>
              <w:left w:val="single" w:color="CCCCCC" w:sz="1"/>
              <w:bottom w:val="single" w:color="CCCCCC" w:sz="1"/>
              <w:right w:val="single" w:color="CCCCCC" w:sz="1"/>
            </w:tcBorders>
            <w:shd w:fill="CC3333" w:val="clear"/>
            <w:tcMar>
              <w:top w:type="dxa" w:w="50"/>
              <w:left w:type="dxa" w:w="100"/>
              <w:bottom w:type="dxa" w:w="50"/>
              <w:right w:type="dxa" w:w="100"/>
            </w:tcMar>
          </w:tcPr>
          <w:p>
            <w:r>
              <w:rPr>
                <w:rFonts w:ascii="Georgia" w:cs="Georgia" w:eastAsia="Georgia" w:hAnsi="Georgia"/>
                <w:b w:val="false"/>
                <w:bCs w:val="false"/>
                <w:color w:val="FFFFFF"/>
                <w:sz w:val="19"/>
                <w:szCs w:val="19"/>
              </w:rPr>
              <w:t xml:space="preserve">Élevée</w:t>
            </w:r>
          </w:p>
        </w:tc>
        <w:tc>
          <w:tcPr>
            <w:tcW w:type="dxa" w:w="44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A4A5C"/>
                <w:sz w:val="19"/>
                <w:szCs w:val="19"/>
              </w:rPr>
              <w:t xml:space="preserve">Débuter par la formation continue non-DEP; accréditation en parallèle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A4A5C"/>
                <w:sz w:val="19"/>
                <w:szCs w:val="19"/>
              </w:rPr>
              <w:t xml:space="preserve">Inscription insuffisante</w:t>
            </w:r>
          </w:p>
        </w:tc>
        <w:tc>
          <w:tcPr>
            <w:tcW w:type="dxa" w:w="1200"/>
            <w:tcBorders>
              <w:top w:val="single" w:color="CCCCCC" w:sz="1"/>
              <w:left w:val="single" w:color="CCCCCC" w:sz="1"/>
              <w:bottom w:val="single" w:color="CCCCCC" w:sz="1"/>
              <w:right w:val="single" w:color="CCCCCC" w:sz="1"/>
            </w:tcBorders>
            <w:shd w:fill="E68A00" w:val="clear"/>
            <w:tcMar>
              <w:top w:type="dxa" w:w="50"/>
              <w:left w:type="dxa" w:w="100"/>
              <w:bottom w:type="dxa" w:w="50"/>
              <w:right w:type="dxa" w:w="100"/>
            </w:tcMar>
          </w:tcPr>
          <w:p>
            <w:r>
              <w:rPr>
                <w:rFonts w:ascii="Georgia" w:cs="Georgia" w:eastAsia="Georgia" w:hAnsi="Georgia"/>
                <w:b w:val="false"/>
                <w:bCs w:val="false"/>
                <w:color w:val="3A4A5C"/>
                <w:sz w:val="19"/>
                <w:szCs w:val="19"/>
              </w:rPr>
              <w:t xml:space="preserve">Modéré</w:t>
            </w:r>
          </w:p>
        </w:tc>
        <w:tc>
          <w:tcPr>
            <w:tcW w:type="dxa" w:w="1200"/>
            <w:tcBorders>
              <w:top w:val="single" w:color="CCCCCC" w:sz="1"/>
              <w:left w:val="single" w:color="CCCCCC" w:sz="1"/>
              <w:bottom w:val="single" w:color="CCCCCC" w:sz="1"/>
              <w:right w:val="single" w:color="CCCCCC" w:sz="1"/>
            </w:tcBorders>
            <w:shd w:fill="2E7D32" w:val="clear"/>
            <w:tcMar>
              <w:top w:type="dxa" w:w="50"/>
              <w:left w:type="dxa" w:w="100"/>
              <w:bottom w:type="dxa" w:w="50"/>
              <w:right w:type="dxa" w:w="100"/>
            </w:tcMar>
          </w:tcPr>
          <w:p>
            <w:r>
              <w:rPr>
                <w:rFonts w:ascii="Georgia" w:cs="Georgia" w:eastAsia="Georgia" w:hAnsi="Georgia"/>
                <w:b w:val="false"/>
                <w:bCs w:val="false"/>
                <w:color w:val="FFFFFF"/>
                <w:sz w:val="19"/>
                <w:szCs w:val="19"/>
              </w:rPr>
              <w:t xml:space="preserve">Faible</w:t>
            </w:r>
          </w:p>
        </w:tc>
        <w:tc>
          <w:tcPr>
            <w:tcW w:type="dxa" w:w="44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A4A5C"/>
                <w:sz w:val="19"/>
                <w:szCs w:val="19"/>
              </w:rPr>
              <w:t xml:space="preserve">Aucun modèle hybride concurrent; avantage tarifaire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A4A5C"/>
                <w:sz w:val="19"/>
                <w:szCs w:val="19"/>
              </w:rPr>
              <w:t xml:space="preserve">Achalandage sous les projections</w:t>
            </w:r>
          </w:p>
        </w:tc>
        <w:tc>
          <w:tcPr>
            <w:tcW w:type="dxa" w:w="1200"/>
            <w:tcBorders>
              <w:top w:val="single" w:color="CCCCCC" w:sz="1"/>
              <w:left w:val="single" w:color="CCCCCC" w:sz="1"/>
              <w:bottom w:val="single" w:color="CCCCCC" w:sz="1"/>
              <w:right w:val="single" w:color="CCCCCC" w:sz="1"/>
            </w:tcBorders>
            <w:shd w:fill="E68A00" w:val="clear"/>
            <w:tcMar>
              <w:top w:type="dxa" w:w="50"/>
              <w:left w:type="dxa" w:w="100"/>
              <w:bottom w:type="dxa" w:w="50"/>
              <w:right w:type="dxa" w:w="100"/>
            </w:tcMar>
          </w:tcPr>
          <w:p>
            <w:r>
              <w:rPr>
                <w:rFonts w:ascii="Georgia" w:cs="Georgia" w:eastAsia="Georgia" w:hAnsi="Georgia"/>
                <w:b w:val="false"/>
                <w:bCs w:val="false"/>
                <w:color w:val="3A4A5C"/>
                <w:sz w:val="19"/>
                <w:szCs w:val="19"/>
              </w:rPr>
              <w:t xml:space="preserve">Modéré</w:t>
            </w:r>
          </w:p>
        </w:tc>
        <w:tc>
          <w:tcPr>
            <w:tcW w:type="dxa" w:w="1200"/>
            <w:tcBorders>
              <w:top w:val="single" w:color="CCCCCC" w:sz="1"/>
              <w:left w:val="single" w:color="CCCCCC" w:sz="1"/>
              <w:bottom w:val="single" w:color="CCCCCC" w:sz="1"/>
              <w:right w:val="single" w:color="CCCCCC" w:sz="1"/>
            </w:tcBorders>
            <w:shd w:fill="E68A00" w:val="clear"/>
            <w:tcMar>
              <w:top w:type="dxa" w:w="50"/>
              <w:left w:type="dxa" w:w="100"/>
              <w:bottom w:type="dxa" w:w="50"/>
              <w:right w:type="dxa" w:w="100"/>
            </w:tcMar>
          </w:tcPr>
          <w:p>
            <w:r>
              <w:rPr>
                <w:rFonts w:ascii="Georgia" w:cs="Georgia" w:eastAsia="Georgia" w:hAnsi="Georgia"/>
                <w:b w:val="false"/>
                <w:bCs w:val="false"/>
                <w:color w:val="3A4A5C"/>
                <w:sz w:val="19"/>
                <w:szCs w:val="19"/>
              </w:rPr>
              <w:t xml:space="preserve">Modérée</w:t>
            </w:r>
          </w:p>
        </w:tc>
        <w:tc>
          <w:tcPr>
            <w:tcW w:type="dxa" w:w="44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A4A5C"/>
                <w:sz w:val="19"/>
                <w:szCs w:val="19"/>
              </w:rPr>
              <w:t xml:space="preserve">Corridor gouvernemental; marketing numérique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bCs/>
                <w:color w:val="3A4A5C"/>
                <w:sz w:val="19"/>
                <w:szCs w:val="19"/>
              </w:rPr>
              <w:t>Recrutement d’instructeur</w:t>
            </w:r>
          </w:p>
        </w:tc>
        <w:tc>
          <w:tcPr>
            <w:tcW w:type="dxa" w:w="1200"/>
            <w:tcBorders>
              <w:top w:val="single" w:color="CCCCCC" w:sz="1"/>
              <w:left w:val="single" w:color="CCCCCC" w:sz="1"/>
              <w:bottom w:val="single" w:color="CCCCCC" w:sz="1"/>
              <w:right w:val="single" w:color="CCCCCC" w:sz="1"/>
            </w:tcBorders>
            <w:shd w:fill="E68A00" w:val="clear"/>
            <w:tcMar>
              <w:top w:type="dxa" w:w="50"/>
              <w:left w:type="dxa" w:w="100"/>
              <w:bottom w:type="dxa" w:w="50"/>
              <w:right w:type="dxa" w:w="100"/>
            </w:tcMar>
          </w:tcPr>
          <w:p>
            <w:r>
              <w:rPr>
                <w:rFonts w:ascii="Georgia" w:cs="Georgia" w:eastAsia="Georgia" w:hAnsi="Georgia"/>
                <w:b w:val="false"/>
                <w:bCs w:val="false"/>
                <w:color w:val="3A4A5C"/>
                <w:sz w:val="19"/>
                <w:szCs w:val="19"/>
              </w:rPr>
              <w:t>Modéré</w:t>
            </w:r>
          </w:p>
        </w:tc>
        <w:tc>
          <w:tcPr>
            <w:tcW w:type="dxa" w:w="1200"/>
            <w:tcBorders>
              <w:top w:val="single" w:color="CCCCCC" w:sz="1"/>
              <w:left w:val="single" w:color="CCCCCC" w:sz="1"/>
              <w:bottom w:val="single" w:color="CCCCCC" w:sz="1"/>
              <w:right w:val="single" w:color="CCCCCC" w:sz="1"/>
            </w:tcBorders>
            <w:shd w:fill="2E7D32" w:val="clear"/>
            <w:tcMar>
              <w:top w:type="dxa" w:w="50"/>
              <w:left w:type="dxa" w:w="100"/>
              <w:bottom w:type="dxa" w:w="50"/>
              <w:right w:type="dxa" w:w="100"/>
            </w:tcMar>
          </w:tcPr>
          <w:p>
            <w:r>
              <w:rPr>
                <w:rFonts w:ascii="Georgia" w:cs="Georgia" w:eastAsia="Georgia" w:hAnsi="Georgia"/>
                <w:b w:val="false"/>
                <w:bCs w:val="false"/>
                <w:color w:val="FFFFFF"/>
                <w:sz w:val="19"/>
                <w:szCs w:val="19"/>
              </w:rPr>
              <w:t>Faible</w:t>
            </w:r>
          </w:p>
        </w:tc>
        <w:tc>
          <w:tcPr>
            <w:tcW w:type="dxa" w:w="4472"/>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Georgia" w:cs="Georgia" w:eastAsia="Georgia" w:hAnsi="Georgia"/>
                <w:b w:val="false"/>
                <w:bCs w:val="false"/>
                <w:color w:val="3A4A5C"/>
                <w:sz w:val="19"/>
                <w:szCs w:val="19"/>
              </w:rPr>
              <w:t>Salaire concurrentiel salaire concurrentiel</w:t>
            </w:r>
          </w:p>
        </w:tc>
      </w:tr>
    </w:tbl>
    <w:p>
      <w:pPr>
        <w:pBdr>
          <w:bottom w:val="single" w:color="C9A84C" w:sz="6" w:space="1"/>
        </w:pBdr>
        <w:spacing w:after="200" w:before="200"/>
      </w:pPr>
    </w:p>
    <w:p>
      <w:r>
        <w:br w:type="page"/>
      </w:r>
    </w:p>
    <w:p>
      <w:pPr>
        <w:pStyle w:val="Heading1"/>
        <w:pBdr>
          <w:bottom w:val="single" w:color="C9A84C" w:sz="4" w:space="4"/>
        </w:pBdr>
        <w:spacing w:after="200" w:before="360"/>
      </w:pPr>
      <w:r>
        <w:rPr>
          <w:rFonts w:ascii="Georgia" w:cs="Georgia" w:eastAsia="Georgia" w:hAnsi="Georgia"/>
          <w:b/>
          <w:bCs/>
          <w:color w:val="0C1A2E"/>
          <w:sz w:val="26"/>
          <w:szCs w:val="26"/>
        </w:rPr>
        <w:t>5. Conclusion et recommandation</w:t>
      </w:r>
    </w:p>
    <w:p>
      <w:pPr>
        <w:spacing w:after="200"/>
        <w:jc w:val="both"/>
      </w:pPr>
      <w:r>
        <w:rPr>
          <w:rFonts w:ascii="Georgia" w:cs="Georgia" w:eastAsia="Georgia" w:hAnsi="Georgia"/>
          <w:b w:val="false"/>
          <w:bCs w:val="false"/>
          <w:i w:val="false"/>
          <w:iCs w:val="false"/>
          <w:color w:val="3A4A5C"/>
          <w:sz w:val="22"/>
          <w:szCs w:val="22"/>
        </w:rPr>
        <w:t>Le modèle hybride salon-académie au 179, Promenade du Portage représente un concept commercial viable, soutenu par une démographie favorable, une lacune de marché identifiée et une structure de revenus double qui combine droits de scolarité et services à la clientèle. Le concept se différencie de tous les concurrents existants dans le centre-ville de Gatineau.</w:t>
      </w:r>
    </w:p>
    <w:p>
      <w:pPr>
        <w:spacing w:after="200"/>
        <w:jc w:val="both"/>
      </w:pPr>
      <w:r>
        <w:rPr>
          <w:rFonts w:ascii="Georgia" w:cs="Georgia" w:eastAsia="Georgia" w:hAnsi="Georgia"/>
          <w:b w:val="false"/>
          <w:bCs w:val="false"/>
          <w:i w:val="false"/>
          <w:iCs w:val="false"/>
          <w:color w:val="3A4A5C"/>
          <w:sz w:val="22"/>
          <w:szCs w:val="22"/>
        </w:rPr>
        <w:t>Le modèle financier démontre que ce concept peut atteindre le seuil de rentabilité à des niveaux d’inscription modestes (6 stagiaires par cycle) tout en générant des revenus significatifs à pleine capacité. La structure de revenus double — droits de scolarité des stagiaires et tarifs des services supervisés — offre une diversification intégrée qui réduit le risque de défaillance unique.</w:t>
      </w:r>
    </w:p>
    <w:p>
      <w:pPr>
        <w:spacing w:after="200"/>
        <w:jc w:val="both"/>
      </w:pPr>
      <w:r>
        <w:rPr>
          <w:rFonts w:ascii="Georgia" w:cs="Georgia" w:eastAsia="Georgia" w:hAnsi="Georgia"/>
          <w:b/>
          <w:bCs/>
          <w:color w:val="0C1A2E"/>
          <w:sz w:val="22"/>
          <w:szCs w:val="22"/>
        </w:rPr>
        <w:t>Ma recommandation est de procéder à une évaluation de faisabilité structurée afin de valider les hypothèses, confirmer les exigences réglementaires et élaborer un plan de mise en œuvre détaillé. Il s’agit d’une étape à faible risque et à haute valeur informationnelle qui nous positionne pour agir de manière décisive une fois l’analyse terminée.</w:t>
      </w:r>
      <w:r>
        <w:rPr>
          <w:rFonts w:ascii="Georgia" w:cs="Georgia" w:eastAsia="Georgia" w:hAnsi="Georgia"/>
          <w:color w:val="3A4A5C"/>
          <w:sz w:val="22"/>
          <w:szCs w:val="22"/>
        </w:rPr>
      </w:r>
    </w:p>
    <w:p>
      <w:pPr>
        <w:spacing w:after="400"/>
      </w:pPr>
    </w:p>
    <w:p>
      <w:pPr>
        <w:pBdr>
          <w:bottom w:val="single" w:color="C9A84C" w:sz="6" w:space="1"/>
        </w:pBdr>
        <w:spacing w:after="200" w:before="200"/>
      </w:pPr>
    </w:p>
    <w:p>
      <w:pPr>
        <w:spacing w:after="200"/>
        <w:jc w:val="both"/>
      </w:pPr>
      <w:r>
        <w:rPr>
          <w:rFonts w:ascii="Georgia" w:cs="Georgia" w:eastAsia="Georgia" w:hAnsi="Georgia"/>
          <w:b/>
          <w:bCs/>
          <w:i w:val="false"/>
          <w:iCs w:val="false"/>
          <w:color w:val="0C1A2E"/>
          <w:sz w:val="22"/>
          <w:szCs w:val="22"/>
        </w:rPr>
        <w:t>Joseph Soares, MBA, PMP, Adm.A., ACC</w:t>
        <w:br/>
        <w:t xml:space="preserve">Associé directeur</w:t>
      </w:r>
    </w:p>
    <w:p>
      <w:pPr>
        <w:spacing w:after="200"/>
        <w:jc w:val="both"/>
      </w:pPr>
      <w:r>
        <w:rPr>
          <w:rFonts w:ascii="Georgia" w:cs="Georgia" w:eastAsia="Georgia" w:hAnsi="Georgia"/>
          <w:b w:val="false"/>
          <w:bCs w:val="false"/>
          <w:i w:val="false"/>
          <w:iCs w:val="false"/>
          <w:color w:val="3A4A5C"/>
          <w:sz w:val="22"/>
          <w:szCs w:val="22"/>
        </w:rPr>
        <w:t xml:space="preserve">IBPROM Corp</w:t>
      </w:r>
    </w:p>
    <w:p>
      <w:pPr>
        <w:spacing w:after="200"/>
        <w:jc w:val="both"/>
      </w:pPr>
      <w:r>
        <w:rPr>
          <w:rFonts w:ascii="Georgia" w:cs="Georgia" w:eastAsia="Georgia" w:hAnsi="Georgia"/>
          <w:b w:val="false"/>
          <w:bCs w:val="false"/>
          <w:i w:val="false"/>
          <w:iCs w:val="false"/>
          <w:color w:val="3A4A5C"/>
          <w:sz w:val="22"/>
          <w:szCs w:val="22"/>
        </w:rPr>
        <w:t>soares@ibprom.com</w:t>
      </w:r>
    </w:p>
    <w:p>
      <w:pPr>
        <w:pageBreakBefore/>
      </w:pPr>
      <w:r>
        <w:rPr>
          <w:b/>
          <w:sz w:val="28"/>
          <w:szCs w:val="28"/>
        </w:rPr>
        <w:t>Références</w:t>
      </w:r>
    </w:p>
    <w:p>
      <w:r>
        <w:rPr>
          <w:rFonts w:ascii="Calibri" w:hAnsi="Calibri"/>
        </w:rPr>
        <w:t xml:space="preserve"/>
      </w:r>
    </w:p>
    <w:p>
      <w:r>
        <w:rPr>
          <w:sz w:val="18"/>
          <w:szCs w:val="18"/>
          <w:rFonts w:ascii="Calibri" w:hAnsi="Calibri"/>
        </w:rPr>
        <w:t xml:space="preserve">¹  Statistique Canada, Profil du recensement 2021 — RMR de Gatineau. https://www12.statcan.gc.ca/census-recensement/2021/dp-pd/prof/details/page.cfm?Lang=F&amp;GeoUID=505&amp;DGUIDlist=2021A00053505</w:t>
      </w:r>
    </w:p>
    <w:p>
      <w:r>
        <w:rPr>
          <w:sz w:val="18"/>
          <w:szCs w:val="18"/>
          <w:rFonts w:ascii="Calibri" w:hAnsi="Calibri"/>
        </w:rPr>
        <w:t xml:space="preserve">²  Emploi-Québec, IMT en ligne (Information sur le marché du travail), région de l'Outaouais, perspectives 2024–2026. https://www.quebec.ca/emploi/planification-gestion/information-marche-travail</w:t>
      </w:r>
    </w:p>
    <w:p>
      <w:r>
        <w:rPr>
          <w:sz w:val="18"/>
          <w:szCs w:val="18"/>
          <w:rFonts w:ascii="Calibri" w:hAnsi="Calibri"/>
        </w:rPr>
        <w:t xml:space="preserve">³  Secrétariat du Conseil du Trésor du Canada, Directive sur la présence prescrite au lieu de travail, 16 mai 2024. https://www.canada.ca/fr/gouvernement/fonctionpublique/effectif/directive-presence-prescrite-lieu-travail.html</w:t>
      </w:r>
    </w:p>
    <w:p>
      <w:r>
        <w:rPr>
          <w:sz w:val="18"/>
          <w:szCs w:val="18"/>
          <w:rFonts w:ascii="Calibri" w:hAnsi="Calibri"/>
        </w:rPr>
        <w:t xml:space="preserve">⁴  Services publics et Approvisionnement Canada, Projet de rénovation de Place du Portage Phase III. https://www.canada.ca/fr/services-publics-approvisionnement/services/infrastructure-batiments/construction/renouvellement-portage-3.html</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pPr>
    <w:r>
      <w:rPr>
        <w:rFonts w:ascii="Georgia" w:cs="Georgia" w:eastAsia="Georgia" w:hAnsi="Georgia"/>
        <w:color w:val="3A4A5C"/>
        <w:sz w:val="14"/>
        <w:szCs w:val="14"/>
      </w:rPr>
      <w:t xml:space="preserve">IBPROM Corp — Analyse salon-académie hybride</w:t>
    </w:r>
    <w:r>
      <w:rPr>
        <w:sz w:val="14"/>
        <w:szCs w:val="14"/>
      </w:rPr>
      <w:t xml:space="preserve">	</w:t>
    </w:r>
    <w:r>
      <w:rPr>
        <w:rFonts w:ascii="Georgia" w:cs="Georgia" w:eastAsia="Georgia" w:hAnsi="Georgia"/>
        <w:color w:val="3A4A5C"/>
        <w:sz w:val="14"/>
        <w:szCs w:val="14"/>
      </w:rPr>
      <w:t xml:space="preserve">Page </w:t>
    </w:r>
    <w:r>
      <w:rPr>
        <w:rFonts w:ascii="Georgia" w:cs="Georgia" w:eastAsia="Georgia" w:hAnsi="Georgia"/>
        <w:color w:val="3A4A5C"/>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rFonts w:ascii="Georgia" w:cs="Georgia" w:eastAsia="Georgia" w:hAnsi="Georgia"/>
        <w:b/>
        <w:bCs/>
        <w:color w:val="C9A84C"/>
        <w:spacing w:val="100"/>
        <w:sz w:val="14"/>
        <w:szCs w:val="14"/>
      </w:rPr>
      <w:t xml:space="preserve">PRIVILÉGIÉ ET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A4A5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C1A2E"/>
      <w:sz w:val="26"/>
      <w:szCs w:val="26"/>
    </w:rPr>
  </w:style>
  <w:style w:type="paragraph" w:styleId="Heading2">
    <w:name w:val="Heading 2"/>
    <w:basedOn w:val="Normal"/>
    <w:next w:val="Normal"/>
    <w:qFormat/>
    <w:pPr>
      <w:spacing w:after="160" w:before="280"/>
      <w:outlineLvl w:val="1"/>
    </w:pPr>
    <w:rPr>
      <w:rFonts w:ascii="Georgia" w:cs="Georgia" w:eastAsia="Georgia" w:hAnsi="Georgia"/>
      <w:b/>
      <w:bCs/>
      <w:color w:val="0C1A2E"/>
      <w:sz w:val="22"/>
      <w:szCs w:val="22"/>
    </w:rPr>
  </w:style>
  <w:style w:type="paragraph" w:styleId="Heading3">
    <w:name w:val="Heading 3"/>
    <w:basedOn w:val="Normal"/>
    <w:next w:val="Normal"/>
    <w:qFormat/>
    <w:pPr>
      <w:spacing w:after="120" w:before="200"/>
      <w:outlineLvl w:val="2"/>
    </w:pPr>
    <w:rPr>
      <w:rFonts w:ascii="Georgia" w:cs="Georgia" w:eastAsia="Georgia" w:hAnsi="Georgia"/>
      <w:b/>
      <w:bCs/>
      <w:color w:val="3A4A5C"/>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2026-04-11T15:33:30.290Z</dcterms:created>
  <dcterms:modified xsi:type="dcterms:W3CDTF">2026-04-11T15:33:30.290Z</dcterms:modified>
</cp:coreProperties>
</file>

<file path=docProps/custom.xml><?xml version="1.0" encoding="utf-8"?>
<Properties xmlns="http://schemas.openxmlformats.org/officeDocument/2006/custom-properties" xmlns:vt="http://schemas.openxmlformats.org/officeDocument/2006/docPropsVTypes"/>
</file>