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p>
    <w:p>
      <w:pPr>
        <w:spacing w:after="80"/>
        <w:jc w:val="center"/>
      </w:pPr>
      <w:r>
        <w:rPr>
          <w:rFonts w:ascii="Georgia" w:cs="Georgia" w:eastAsia="Georgia" w:hAnsi="Georgia"/>
          <w:b/>
          <w:bCs/>
          <w:color w:val="CFB53B"/>
          <w:spacing w:val="200"/>
          <w:sz w:val="24"/>
          <w:szCs w:val="24"/>
        </w:rPr>
        <w:t xml:space="preserve">IBPROM CORP</w:t>
      </w:r>
    </w:p>
    <w:p>
      <w:pPr>
        <w:spacing w:after="40"/>
        <w:jc w:val="center"/>
      </w:pPr>
      <w:r>
        <w:rPr>
          <w:rFonts w:ascii="Georgia" w:cs="Georgia" w:eastAsia="Georgia" w:hAnsi="Georgia"/>
          <w:color w:val="CFB53B"/>
          <w:sz w:val="24"/>
          <w:szCs w:val="24"/>
        </w:rPr>
        <w:t xml:space="preserve">—</w:t>
      </w:r>
    </w:p>
    <w:p>
      <w:pPr>
        <w:spacing w:after="120"/>
        <w:jc w:val="center"/>
      </w:pPr>
      <w:r>
        <w:rPr>
          <w:rFonts w:ascii="Georgia" w:cs="Georgia" w:eastAsia="Georgia" w:hAnsi="Georgia"/>
          <w:color w:val="1B3154"/>
          <w:spacing w:val="150"/>
          <w:sz w:val="22"/>
          <w:szCs w:val="22"/>
        </w:rPr>
        <w:t xml:space="preserve">STRATEGIC ADVISORY</w:t>
      </w:r>
    </w:p>
    <w:p>
      <w:pPr>
        <w:spacing w:after="300" w:before="300"/>
      </w:pPr>
    </w:p>
    <w:p>
      <w:pPr>
        <w:spacing w:after="80"/>
        <w:jc w:val="center"/>
      </w:pPr>
      <w:r>
        <w:rPr>
          <w:rFonts w:ascii="Georgia" w:cs="Georgia" w:eastAsia="Georgia" w:hAnsi="Georgia"/>
          <w:b/>
          <w:bCs/>
          <w:color w:val="1B3154"/>
          <w:sz w:val="40"/>
          <w:szCs w:val="40"/>
        </w:rPr>
        <w:t xml:space="preserve">CAPITAL CORRIDOR CAMPUS</w:t>
      </w:r>
    </w:p>
    <w:p>
      <w:pPr>
        <w:spacing w:after="60"/>
        <w:jc w:val="center"/>
      </w:pPr>
      <w:r>
        <w:rPr>
          <w:rFonts w:ascii="Georgia" w:cs="Georgia" w:eastAsia="Georgia" w:hAnsi="Georgia"/>
          <w:color w:val="1B3154"/>
          <w:sz w:val="28"/>
          <w:szCs w:val="28"/>
        </w:rPr>
        <w:t xml:space="preserve">Strategic Engagement Overview</w:t>
      </w:r>
    </w:p>
    <w:p>
      <w:pPr>
        <w:pBdr>
          <w:bottom w:val="single" w:color="CFB53B" w:sz="4" w:space="1"/>
        </w:pBdr>
        <w:spacing w:after="240"/>
        <w:jc w:val="center"/>
      </w:pPr>
    </w:p>
    <w:p>
      <w:pPr>
        <w:spacing w:after="160" w:before="160"/>
      </w:pPr>
    </w:p>
    <w:p>
      <w:pPr>
        <w:spacing w:after="60"/>
        <w:jc w:val="center"/>
      </w:pPr>
      <w:r>
        <w:rPr>
          <w:rFonts w:ascii="Georgia" w:cs="Georgia" w:eastAsia="Georgia" w:hAnsi="Georgia"/>
          <w:i/>
          <w:iCs/>
          <w:color w:val="666666"/>
          <w:sz w:val="20"/>
          <w:szCs w:val="20"/>
        </w:rPr>
        <w:t xml:space="preserve">Prepared for</w:t>
      </w:r>
    </w:p>
    <w:p>
      <w:pPr>
        <w:spacing w:after="240"/>
        <w:jc w:val="center"/>
      </w:pPr>
      <w:r>
        <w:rPr>
          <w:rFonts w:ascii="Georgia" w:cs="Georgia" w:eastAsia="Georgia" w:hAnsi="Georgia"/>
          <w:b/>
          <w:bCs/>
          <w:color w:val="1B3154"/>
          <w:sz w:val="28"/>
          <w:szCs w:val="28"/>
        </w:rPr>
        <w:t xml:space="preserve">Dr. Nader Dormani</w:t>
      </w:r>
    </w:p>
    <w:p>
      <w:pPr>
        <w:spacing w:after="80" w:before="80"/>
      </w:pPr>
    </w:p>
    <w:p>
      <w:pPr>
        <w:spacing w:after="60"/>
        <w:jc w:val="center"/>
      </w:pPr>
      <w:r>
        <w:rPr>
          <w:rFonts w:ascii="Georgia" w:cs="Georgia" w:eastAsia="Georgia" w:hAnsi="Georgia"/>
          <w:i/>
          <w:iCs/>
          <w:color w:val="666666"/>
          <w:sz w:val="20"/>
          <w:szCs w:val="20"/>
        </w:rPr>
        <w:t xml:space="preserve">Prepared by</w:t>
      </w:r>
    </w:p>
    <w:p>
      <w:pPr>
        <w:spacing w:after="40"/>
        <w:jc w:val="center"/>
      </w:pPr>
      <w:r>
        <w:rPr>
          <w:rFonts w:ascii="Georgia" w:cs="Georgia" w:eastAsia="Georgia" w:hAnsi="Georgia"/>
          <w:b/>
          <w:bCs/>
          <w:color w:val="1B3154"/>
          <w:sz w:val="24"/>
          <w:szCs w:val="24"/>
        </w:rPr>
        <w:t xml:space="preserve">Joseph Soares, MBA, Adm.A., PMP</w:t>
      </w:r>
    </w:p>
    <w:p>
      <w:pPr>
        <w:spacing w:after="40"/>
        <w:jc w:val="center"/>
      </w:pPr>
      <w:r>
        <w:rPr>
          <w:rFonts w:ascii="Georgia" w:cs="Georgia" w:eastAsia="Georgia" w:hAnsi="Georgia"/>
          <w:color w:val="1A1A1A"/>
          <w:sz w:val="20"/>
          <w:szCs w:val="20"/>
        </w:rPr>
        <w:t xml:space="preserve">President, IBPROM Corp</w:t>
      </w:r>
    </w:p>
    <w:p>
      <w:pPr>
        <w:spacing w:after="120"/>
        <w:jc w:val="center"/>
      </w:pPr>
      <w:r>
        <w:rPr>
          <w:rFonts w:ascii="Georgia" w:cs="Georgia" w:eastAsia="Georgia" w:hAnsi="Georgia"/>
          <w:color w:val="1A1A1A"/>
          <w:sz w:val="20"/>
          <w:szCs w:val="20"/>
        </w:rPr>
        <w:t xml:space="preserve">josephsoares.com</w:t>
      </w:r>
    </w:p>
    <w:p>
      <w:pPr>
        <w:spacing w:after="160" w:before="160"/>
      </w:pPr>
    </w:p>
    <w:p>
      <w:pPr>
        <w:spacing w:after="40"/>
        <w:jc w:val="center"/>
      </w:pPr>
      <w:r>
        <w:rPr>
          <w:rFonts w:ascii="Georgia" w:cs="Georgia" w:eastAsia="Georgia" w:hAnsi="Georgia"/>
          <w:color w:val="1B3154"/>
          <w:sz w:val="22"/>
          <w:szCs w:val="22"/>
        </w:rPr>
        <w:t xml:space="preserve">April 2026</w:t>
      </w:r>
    </w:p>
    <w:p>
      <w:pPr>
        <w:jc w:val="center"/>
      </w:pPr>
      <w:r>
        <w:rPr>
          <w:rFonts w:ascii="Georgia" w:cs="Georgia" w:eastAsia="Georgia" w:hAnsi="Georgia"/>
          <w:color w:val="999999"/>
          <w:spacing w:val="2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rPr>
        <w:t xml:space="preserve">1. Introduction</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As the strategic advisor responsible for the development of the Capital Corridor Campus at 179 and 191 Promenade du Portage, and drawing on my experience serving in the Prime Minister’s Office during a global financial crisis and as Chief of Staff at the Senate of Canada during the COVID-19 pandemic, I am pleased to present this strategic engagement overview.</w:t>
      </w:r>
    </w:p>
    <w:p>
      <w:pPr>
        <w:spacing w:after="200" w:line="276" w:lineRule="auto"/>
      </w:pPr>
      <w:r>
        <w:rPr>
          <w:rFonts w:ascii="Georgia" w:cs="Georgia" w:eastAsia="Georgia" w:hAnsi="Georgia"/>
          <w:color w:val="1A1A1A"/>
          <w:sz w:val="22"/>
          <w:szCs w:val="22"/>
        </w:rPr>
        <w:t xml:space="preserve">This document describes a comprehensive advisory engagement designed to address two fundamental questions:</w:t>
      </w:r>
    </w:p>
    <w:p>
      <w:pPr>
        <w:pStyle w:val="ListParagraph"/>
        <w:numPr>
          <w:ilvl w:val="0"/>
          <w:numId w:val="2"/>
        </w:numPr>
        <w:spacing w:after="120" w:line="276" w:lineRule="auto"/>
      </w:pPr>
      <w:r>
        <w:rPr>
          <w:rFonts w:ascii="Georgia" w:cs="Georgia" w:eastAsia="Georgia" w:hAnsi="Georgia"/>
          <w:b/>
          <w:bCs/>
          <w:color w:val="1A1A1A"/>
          <w:sz w:val="22"/>
          <w:szCs w:val="22"/>
        </w:rPr>
        <w:t xml:space="preserve">How do you secure long-term, stable occupancy for your commercial properties — properties that have been vacant for years and are costing millions?</w:t>
      </w:r>
    </w:p>
    <w:p>
      <w:pPr>
        <w:pStyle w:val="ListParagraph"/>
        <w:numPr>
          <w:ilvl w:val="0"/>
          <w:numId w:val="2"/>
        </w:numPr>
        <w:spacing w:after="120" w:line="276" w:lineRule="auto"/>
      </w:pPr>
      <w:r>
        <w:rPr>
          <w:rFonts w:ascii="Georgia" w:cs="Georgia" w:eastAsia="Georgia" w:hAnsi="Georgia"/>
          <w:b/>
          <w:bCs/>
          <w:color w:val="1A1A1A"/>
          <w:sz w:val="22"/>
          <w:szCs w:val="22"/>
        </w:rPr>
        <w:t xml:space="preserve">How do you step back from the daily mechanics of your business interests and reposition yourself for the next chapter — making more money with less effort, by leveraging your greatest asset: your relationships?</w:t>
      </w:r>
    </w:p>
    <w:p>
      <w:pPr>
        <w:spacing w:after="200" w:line="276" w:lineRule="auto"/>
      </w:pPr>
      <w:r>
        <w:rPr>
          <w:rFonts w:ascii="Georgia" w:cs="Georgia" w:eastAsia="Georgia" w:hAnsi="Georgia"/>
          <w:color w:val="1A1A1A"/>
          <w:sz w:val="22"/>
          <w:szCs w:val="22"/>
        </w:rPr>
        <w:t xml:space="preserve">The Capital Corridor Campus answers both questions simultaneously. It transforms vacant commercial space into a self-sustaining platform of captive enterprise partnerships, and it repositions you from operator to investment manager — a role where your ability to build relationships and attract capital creates more value than any amount of hands-on management ever could.</w:t>
      </w:r>
    </w:p>
    <w:p>
      <w:pPr>
        <w:spacing w:after="200" w:line="276" w:lineRule="auto"/>
      </w:pPr>
      <w:r>
        <w:rPr>
          <w:rFonts w:ascii="Georgia" w:cs="Georgia" w:eastAsia="Georgia" w:hAnsi="Georgia"/>
          <w:color w:val="1A1A1A"/>
          <w:sz w:val="22"/>
          <w:szCs w:val="22"/>
        </w:rPr>
        <w:t xml:space="preserve">The engagement is structured as a series of independent component projects. Each has its own analysis, financial model, and funding pathway. Each can proceed to approval on its own merits. Together, they form a coherent strategy for the long-term development of your commercial, residential, and investment portfolio.</w:t>
      </w:r>
    </w:p>
    <w:p>
      <w:pPr>
        <w:spacing w:after="200" w:line="276" w:lineRule="auto"/>
      </w:pPr>
      <w:r>
        <w:rPr>
          <w:rFonts w:ascii="Georgia" w:cs="Georgia" w:eastAsia="Georgia" w:hAnsi="Georgia"/>
          <w:color w:val="1A1A1A"/>
          <w:sz w:val="22"/>
          <w:szCs w:val="22"/>
        </w:rPr>
        <w:t xml:space="preserve">I will deliver these components to you one at a time. The first — the Hybrid Salon-Academy Feasibility Study — has already been completed and is enclosed.</w:t>
      </w:r>
    </w:p>
    <w:p>
      <w:pPr>
        <w:pStyle w:val="Heading1"/>
        <w:pageBreakBefore/>
      </w:pPr>
      <w:r>
        <w:rPr>
          <w:rFonts w:ascii="Georgia" w:cs="Georgia" w:eastAsia="Georgia" w:hAnsi="Georgia"/>
        </w:rPr>
        <w:t xml:space="preserve">2. Work Completed to Date</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Before describing the components ahead, it is important to document what has already been accomplished. The Capital Corridor Campus is not a concept on paper — it is a strategy that has been developed, branded, built, and partially deployed. The following work represents the foundation upon which all subsequent components are built.</w:t>
      </w:r>
    </w:p>
    <w:p>
      <w:pPr>
        <w:pStyle w:val="Heading2"/>
      </w:pPr>
      <w:r>
        <w:rPr>
          <w:rFonts w:ascii="Georgia" w:cs="Georgia" w:eastAsia="Georgia" w:hAnsi="Georgia"/>
        </w:rPr>
        <w:t xml:space="preserve">2.1 Brand &amp; Positioning Strategy</w:t>
      </w:r>
    </w:p>
    <w:p>
      <w:pPr>
        <w:spacing w:after="200" w:line="276" w:lineRule="auto"/>
      </w:pPr>
      <w:r>
        <w:rPr>
          <w:rFonts w:ascii="Georgia" w:cs="Georgia" w:eastAsia="Georgia" w:hAnsi="Georgia"/>
          <w:color w:val="1A1A1A"/>
          <w:sz w:val="22"/>
          <w:szCs w:val="22"/>
        </w:rPr>
        <w:t xml:space="preserve">A complete brand system has been developed for the Campus, including a bilingual naming hierarchy for all floors and rooms, visual identity standards, target tenant profiles, and institutional positioning language. The Campus is positioned as a professional ecosystem where government, strategy, and innovation intersect in Canada’s National Capital Region — not a traditional office building, but a strategic workspace environment designed for organizations that operate at the intersection of government and industry.</w:t>
      </w:r>
    </w:p>
    <w:p>
      <w:pPr>
        <w:pStyle w:val="Heading2"/>
      </w:pPr>
      <w:r>
        <w:rPr>
          <w:rFonts w:ascii="Georgia" w:cs="Georgia" w:eastAsia="Georgia" w:hAnsi="Georgia"/>
        </w:rPr>
        <w:t xml:space="preserve">2.2 Website — campuscorridor.ca</w:t>
      </w:r>
    </w:p>
    <w:p>
      <w:pPr>
        <w:spacing w:after="200" w:line="276" w:lineRule="auto"/>
      </w:pPr>
      <w:r>
        <w:rPr>
          <w:rFonts w:ascii="Georgia" w:cs="Georgia" w:eastAsia="Georgia" w:hAnsi="Georgia"/>
          <w:color w:val="1A1A1A"/>
          <w:sz w:val="22"/>
          <w:szCs w:val="22"/>
        </w:rPr>
        <w:t xml:space="preserve">A fully bilingual website has been designed, built, and deployed on campuscorridor.ca. The site includes detailed property listings for both 179 and 191 Promenade du Portage, professional floor plans for all available floors, embedded virtual tours, a contact form with inquiry routing, and search engine optimization infrastructure including structured data, sitemap, and Google Search Console verification. Google Analytics (GA4) tracking is active, and a Google Business Profile has been created and verified.</w:t>
      </w:r>
    </w:p>
    <w:p>
      <w:pPr>
        <w:pStyle w:val="Heading2"/>
      </w:pPr>
      <w:r>
        <w:rPr>
          <w:rFonts w:ascii="Georgia" w:cs="Georgia" w:eastAsia="Georgia" w:hAnsi="Georgia"/>
        </w:rPr>
        <w:t xml:space="preserve">2.3 Virtual Office Product — Revenue Generation</w:t>
      </w:r>
    </w:p>
    <w:p>
      <w:pPr>
        <w:spacing w:after="200" w:line="276" w:lineRule="auto"/>
      </w:pPr>
      <w:r>
        <w:rPr>
          <w:rFonts w:ascii="Georgia" w:cs="Georgia" w:eastAsia="Georgia" w:hAnsi="Georgia"/>
          <w:color w:val="1A1A1A"/>
          <w:sz w:val="22"/>
          <w:szCs w:val="22"/>
        </w:rPr>
        <w:t xml:space="preserve">A three-tier virtual office product has been designed and deployed on the Campus website, modelled on the Regus flexible workspace concept. This represents the minimum viable product for immediate revenue generation:</w:t>
      </w:r>
    </w:p>
    <w:p>
      <w:pPr>
        <w:pStyle w:val="ListParagraph"/>
        <w:numPr>
          <w:ilvl w:val="0"/>
          <w:numId w:val="3"/>
        </w:numPr>
        <w:spacing w:after="100" w:line="276" w:lineRule="auto"/>
      </w:pPr>
      <w:r>
        <w:rPr>
          <w:rFonts w:ascii="Georgia" w:cs="Georgia" w:eastAsia="Georgia" w:hAnsi="Georgia"/>
          <w:b/>
          <w:bCs/>
          <w:color w:val="1A1A1A"/>
          <w:sz w:val="22"/>
          <w:szCs w:val="22"/>
        </w:rPr>
        <w:t xml:space="preserve">Corridor Address ($99/month)</w:t>
      </w:r>
      <w:r>
        <w:rPr>
          <w:rFonts w:ascii="Georgia" w:cs="Georgia" w:eastAsia="Georgia" w:hAnsi="Georgia"/>
          <w:color w:val="1A1A1A"/>
          <w:sz w:val="22"/>
          <w:szCs w:val="22"/>
        </w:rPr>
        <w:t xml:space="preserve"> — Business address at 179 Promenade du Portage, professional mail handling, building directory listing.</w:t>
      </w:r>
    </w:p>
    <w:p>
      <w:pPr>
        <w:pStyle w:val="ListParagraph"/>
        <w:numPr>
          <w:ilvl w:val="0"/>
          <w:numId w:val="3"/>
        </w:numPr>
        <w:spacing w:after="100" w:line="276" w:lineRule="auto"/>
      </w:pPr>
      <w:r>
        <w:rPr>
          <w:rFonts w:ascii="Georgia" w:cs="Georgia" w:eastAsia="Georgia" w:hAnsi="Georgia"/>
          <w:b/>
          <w:bCs/>
          <w:color w:val="1A1A1A"/>
          <w:sz w:val="22"/>
          <w:szCs w:val="22"/>
        </w:rPr>
        <w:t xml:space="preserve">Corridor Bureau ($199/month)</w:t>
      </w:r>
      <w:r>
        <w:rPr>
          <w:rFonts w:ascii="Georgia" w:cs="Georgia" w:eastAsia="Georgia" w:hAnsi="Georgia"/>
          <w:color w:val="1A1A1A"/>
          <w:sz w:val="22"/>
          <w:szCs w:val="22"/>
        </w:rPr>
        <w:t xml:space="preserve"> — Dedicated phone number with call forwarding, 2 days per month of private office access, 2 hours per month of meeting room time.</w:t>
      </w:r>
    </w:p>
    <w:p>
      <w:pPr>
        <w:pStyle w:val="ListParagraph"/>
        <w:numPr>
          <w:ilvl w:val="0"/>
          <w:numId w:val="3"/>
        </w:numPr>
        <w:spacing w:after="100" w:line="276" w:lineRule="auto"/>
      </w:pPr>
      <w:r>
        <w:rPr>
          <w:rFonts w:ascii="Georgia" w:cs="Georgia" w:eastAsia="Georgia" w:hAnsi="Georgia"/>
          <w:b/>
          <w:bCs/>
          <w:color w:val="1A1A1A"/>
          <w:sz w:val="22"/>
          <w:szCs w:val="22"/>
        </w:rPr>
        <w:t xml:space="preserve">Corridor Executive ($349/month)</w:t>
      </w:r>
      <w:r>
        <w:rPr>
          <w:rFonts w:ascii="Georgia" w:cs="Georgia" w:eastAsia="Georgia" w:hAnsi="Georgia"/>
          <w:color w:val="1A1A1A"/>
          <w:sz w:val="22"/>
          <w:szCs w:val="22"/>
        </w:rPr>
        <w:t xml:space="preserve"> — 5 days per month of private office access, 8 hours of meeting room time, after-hours building access, lobby signage.</w:t>
      </w:r>
    </w:p>
    <w:p>
      <w:pPr>
        <w:spacing w:after="200" w:line="276" w:lineRule="auto"/>
      </w:pPr>
      <w:r>
        <w:rPr>
          <w:rFonts w:ascii="Georgia" w:cs="Georgia" w:eastAsia="Georgia" w:hAnsi="Georgia"/>
          <w:color w:val="1A1A1A"/>
          <w:sz w:val="22"/>
          <w:szCs w:val="22"/>
        </w:rPr>
        <w:t xml:space="preserve">This product is live and ready to generate revenue. The first confirmed transaction will validate the model and trigger expansion planning. This is a standalone component that warrants its own project charter and development plan as the Campus matures.</w:t>
      </w:r>
    </w:p>
    <w:p>
      <w:pPr>
        <w:pStyle w:val="Heading2"/>
      </w:pPr>
      <w:r>
        <w:rPr>
          <w:rFonts w:ascii="Georgia" w:cs="Georgia" w:eastAsia="Georgia" w:hAnsi="Georgia"/>
        </w:rPr>
        <w:t xml:space="preserve">2.4 Marketing &amp; Content Assets</w:t>
      </w:r>
    </w:p>
    <w:p>
      <w:pPr>
        <w:spacing w:after="200" w:line="276" w:lineRule="auto"/>
      </w:pPr>
      <w:r>
        <w:rPr>
          <w:rFonts w:ascii="Georgia" w:cs="Georgia" w:eastAsia="Georgia" w:hAnsi="Georgia"/>
          <w:color w:val="1A1A1A"/>
          <w:sz w:val="22"/>
          <w:szCs w:val="22"/>
        </w:rPr>
        <w:t xml:space="preserve">Five search-engine-optimized blog articles have been published in both English and French, targeting government-adjacent professionals, virtual office seekers, and commercial tenants in the Gatineau corridor. A 30-day social media campaign plan and a 100-day content calendar have been developed. LinkedIn post series have been drafted in both languages. Property fact sheets are available in English and French as downloadable PDFs.</w:t>
      </w:r>
    </w:p>
    <w:p>
      <w:pPr>
        <w:pStyle w:val="Heading2"/>
      </w:pPr>
      <w:r>
        <w:rPr>
          <w:rFonts w:ascii="Georgia" w:cs="Georgia" w:eastAsia="Georgia" w:hAnsi="Georgia"/>
        </w:rPr>
        <w:t xml:space="preserve">2.5 Government Procurement Registrations</w:t>
      </w:r>
    </w:p>
    <w:p>
      <w:pPr>
        <w:spacing w:after="200" w:line="276" w:lineRule="auto"/>
      </w:pPr>
      <w:r>
        <w:rPr>
          <w:rFonts w:ascii="Georgia" w:cs="Georgia" w:eastAsia="Georgia" w:hAnsi="Georgia"/>
          <w:color w:val="1A1A1A"/>
          <w:sz w:val="22"/>
          <w:szCs w:val="22"/>
        </w:rPr>
        <w:t xml:space="preserve">IBPROM Corp has been registered on all three major government procurement platforms: CanadaBuys (SAP Enterprise Account, 100% complete profile, 11 procurement categories), MERX, and SEAO (org ref 20028845, with alert filters configured for partnerships, concessions, and real estate dispositions in the Outaouais region). This positions the Campus to respond to government requirements for commercial space.</w:t>
      </w:r>
    </w:p>
    <w:p>
      <w:pPr>
        <w:pStyle w:val="Heading2"/>
      </w:pPr>
      <w:r>
        <w:rPr>
          <w:rFonts w:ascii="Georgia" w:cs="Georgia" w:eastAsia="Georgia" w:hAnsi="Georgia"/>
        </w:rPr>
        <w:t xml:space="preserve">2.6 Commercial Broker Outreach Program</w:t>
      </w:r>
    </w:p>
    <w:p>
      <w:pPr>
        <w:spacing w:after="200" w:line="276" w:lineRule="auto"/>
      </w:pPr>
      <w:r>
        <w:rPr>
          <w:rFonts w:ascii="Georgia" w:cs="Georgia" w:eastAsia="Georgia" w:hAnsi="Georgia"/>
          <w:color w:val="1A1A1A"/>
          <w:sz w:val="22"/>
          <w:szCs w:val="22"/>
        </w:rPr>
        <w:t xml:space="preserve">A systematic outreach program has been designed and deployed to contact commercial real estate brokers across the National Capital Region. The program introduces the Campus to the brokerage community and establishes a co-brokerage commission structure (50/50) to incentivize tenant referrals. The sequence is built and ready for activation.</w:t>
      </w:r>
    </w:p>
    <w:p>
      <w:pPr>
        <w:pStyle w:val="Heading2"/>
      </w:pPr>
      <w:r>
        <w:rPr>
          <w:rFonts w:ascii="Georgia" w:cs="Georgia" w:eastAsia="Georgia" w:hAnsi="Georgia"/>
        </w:rPr>
        <w:t xml:space="preserve">2.7 Öztürk Holding Investment Proposal Review</w:t>
      </w:r>
    </w:p>
    <w:p>
      <w:pPr>
        <w:spacing w:after="200" w:line="276" w:lineRule="auto"/>
      </w:pPr>
      <w:r>
        <w:rPr>
          <w:rFonts w:ascii="Georgia" w:cs="Georgia" w:eastAsia="Georgia" w:hAnsi="Georgia"/>
          <w:color w:val="1A1A1A"/>
          <w:sz w:val="22"/>
          <w:szCs w:val="22"/>
        </w:rPr>
        <w:t xml:space="preserve">At your request, I conducted a comprehensive review of the investment proposals submitted by Öztürk Holding A.Ş. (Istanbul, Turkey) regarding a proposed partnership in the La Cité development. The review included a clause-by-clause legal analysis of the three proposal documents, identification of critical risk provisions — including a stablecoin payment mechanism that raised FINTRAC compliance concerns, a ten-year non-compete clause covering 193 countries, a share pledge provision, London-seated arbitration, and an unexplained $1.4 million fee structure. In total, the analysis identified over $1 million in risk exposure embedded in the fine print. I prepared a formal counter-proposal framework establishing seven key positions, a diplomatic response letter for your signature, and a complete briefing package for your review. The letter has been dispatched. This work demonstrates the advisory capacity described in Component 7 of this engagement — capital attraction — and has given me a detailed understanding of how international investors approach your portfolio and how to negotiate these relationships from a position of strength.</w:t>
      </w:r>
    </w:p>
    <w:p>
      <w:pPr>
        <w:pStyle w:val="Heading1"/>
        <w:pageBreakBefore/>
      </w:pPr>
      <w:r>
        <w:rPr>
          <w:rFonts w:ascii="Georgia" w:cs="Georgia" w:eastAsia="Georgia" w:hAnsi="Georgia"/>
        </w:rPr>
        <w:t xml:space="preserve">3. The Capital Corridor Campus Concept</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The traditional approach to commercial vacancy is to find tenants. The Capital Corridor Campus takes a fundamentally different approach: </w:t>
      </w:r>
      <w:r>
        <w:rPr>
          <w:rFonts w:ascii="Georgia" w:cs="Georgia" w:eastAsia="Georgia" w:hAnsi="Georgia"/>
          <w:b/>
          <w:bCs/>
          <w:color w:val="1A1A1A"/>
          <w:sz w:val="22"/>
          <w:szCs w:val="22"/>
        </w:rPr>
        <w:t xml:space="preserve">instead of renting to tenants, you become a partner with them.</w:t>
      </w:r>
    </w:p>
    <w:p>
      <w:pPr>
        <w:spacing w:after="200" w:line="276" w:lineRule="auto"/>
      </w:pPr>
      <w:r>
        <w:rPr>
          <w:rFonts w:ascii="Georgia" w:cs="Georgia" w:eastAsia="Georgia" w:hAnsi="Georgia"/>
          <w:color w:val="1A1A1A"/>
          <w:sz w:val="22"/>
          <w:szCs w:val="22"/>
        </w:rPr>
        <w:t xml:space="preserve">When you are a landlord, your tenant can leave when their lease expires. You absorb the full cost of vacancy. When you are a partner in the enterprise that occupies your space, you control the relationship. The tenant is captive — not because they are locked in, but because their success is tied to yours.</w:t>
      </w:r>
    </w:p>
    <w:p>
      <w:pPr>
        <w:spacing w:after="200" w:line="276" w:lineRule="auto"/>
      </w:pPr>
      <w:r>
        <w:rPr>
          <w:rFonts w:ascii="Georgia" w:cs="Georgia" w:eastAsia="Georgia" w:hAnsi="Georgia"/>
          <w:color w:val="1A1A1A"/>
          <w:sz w:val="22"/>
          <w:szCs w:val="22"/>
        </w:rPr>
        <w:t xml:space="preserve">The properties at 179 and 191 are currently home to private-sector consulting firms doing business with the Government of Canada. Your relationship with them has been strictly landlord-tenant. The Campus concept proposes converting those relationships — and creating new ones — where you are a stakeholder in the enterprise, not merely the lessor of the space.</w:t>
      </w:r>
    </w:p>
    <w:p>
      <w:pPr>
        <w:spacing w:after="200" w:line="276" w:lineRule="auto"/>
      </w:pPr>
      <w:r>
        <w:rPr>
          <w:rFonts w:ascii="Georgia" w:cs="Georgia" w:eastAsia="Georgia" w:hAnsi="Georgia"/>
          <w:color w:val="1A1A1A"/>
          <w:sz w:val="22"/>
          <w:szCs w:val="22"/>
        </w:rPr>
        <w:t xml:space="preserve">This is achieved through structured entities — including non-profit organizations where appropriate — that you control, that qualify independently for government funding, and that generate revenue from operations rather than from rent alone.</w:t>
      </w:r>
    </w:p>
    <w:p>
      <w:pPr>
        <w:spacing w:after="200" w:line="276" w:lineRule="auto"/>
      </w:pPr>
      <w:r>
        <w:rPr>
          <w:rFonts w:ascii="Georgia" w:cs="Georgia" w:eastAsia="Georgia" w:hAnsi="Georgia"/>
          <w:color w:val="1A1A1A"/>
          <w:sz w:val="22"/>
          <w:szCs w:val="22"/>
        </w:rPr>
        <w:t xml:space="preserve">The result is a campus of captive enterprises, each independently funded, each contributing to the value of the property, and each insulating you from the vacancy risk that has defined the downtown Gatineau market since the federal workforce displacement began.</w:t>
      </w:r>
    </w:p>
    <w:p>
      <w:pPr>
        <w:pStyle w:val="Heading1"/>
        <w:pageBreakBefore/>
      </w:pPr>
      <w:r>
        <w:rPr>
          <w:rFonts w:ascii="Georgia" w:cs="Georgia" w:eastAsia="Georgia" w:hAnsi="Georgia"/>
        </w:rPr>
        <w:t xml:space="preserve">4. Engagement Components</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The following eight components will be developed as independent advisory documents. Each stands alone for funding purposes while contributing to the coherent strategy above.</w:t>
      </w:r>
    </w:p>
    <w:p>
      <w:pPr>
        <w:pStyle w:val="Heading2"/>
      </w:pPr>
      <w:r>
        <w:rPr>
          <w:rFonts w:ascii="Georgia" w:cs="Georgia" w:eastAsia="Georgia" w:hAnsi="Georgia"/>
        </w:rPr>
        <w:t xml:space="preserve">Component 1: Hybrid Salon-Academy Feasibility</w:t>
      </w:r>
    </w:p>
    <w:p>
      <w:pPr>
        <w:spacing w:after="120"/>
      </w:pPr>
      <w:r>
        <w:rPr>
          <w:rFonts w:ascii="Georgia" w:cs="Georgia" w:eastAsia="Georgia" w:hAnsi="Georgia"/>
          <w:i/>
          <w:iCs/>
          <w:color w:val="666666"/>
          <w:sz w:val="20"/>
          <w:szCs w:val="20"/>
        </w:rPr>
        <w:t xml:space="preserve">Status: Delivered  |  Funding: ESSOR Volet 1A (50% consultant fees, up to $50,000)</w:t>
      </w:r>
    </w:p>
    <w:p>
      <w:pPr>
        <w:spacing w:after="200" w:line="276" w:lineRule="auto"/>
      </w:pPr>
      <w:r>
        <w:rPr>
          <w:rFonts w:ascii="Georgia" w:cs="Georgia" w:eastAsia="Georgia" w:hAnsi="Georgia"/>
          <w:color w:val="1A1A1A"/>
          <w:sz w:val="22"/>
          <w:szCs w:val="22"/>
        </w:rPr>
        <w:t xml:space="preserve">A comprehensive feasibility analysis for a hybrid hairdressing salon and continuing education academy at the ground floor of 179 Promenade du Portage. The model combines tuition revenue with discounted client services, creating a dual-revenue captive enterprise with strong social contribution credentials. Completed in English and French. ESSOR application in preparation for submission this week.</w:t>
      </w:r>
    </w:p>
    <w:p>
      <w:pPr>
        <w:pStyle w:val="Heading2"/>
      </w:pPr>
      <w:r>
        <w:rPr>
          <w:rFonts w:ascii="Georgia" w:cs="Georgia" w:eastAsia="Georgia" w:hAnsi="Georgia"/>
        </w:rPr>
        <w:t xml:space="preserve">Component 2: Virtual Office &amp; Flexible Workspace</w:t>
      </w:r>
    </w:p>
    <w:p>
      <w:pPr>
        <w:spacing w:after="120"/>
      </w:pPr>
      <w:r>
        <w:rPr>
          <w:rFonts w:ascii="Georgia" w:cs="Georgia" w:eastAsia="Georgia" w:hAnsi="Georgia"/>
          <w:i/>
          <w:iCs/>
          <w:color w:val="666666"/>
          <w:sz w:val="20"/>
          <w:szCs w:val="20"/>
        </w:rPr>
        <w:t xml:space="preserve">Status: MVP Deployed  |  Funding: Self-funded — revenue-generating from day one</w:t>
      </w:r>
    </w:p>
    <w:p>
      <w:pPr>
        <w:spacing w:after="200" w:line="276" w:lineRule="auto"/>
      </w:pPr>
      <w:r>
        <w:rPr>
          <w:rFonts w:ascii="Georgia" w:cs="Georgia" w:eastAsia="Georgia" w:hAnsi="Georgia"/>
          <w:color w:val="1A1A1A"/>
          <w:sz w:val="22"/>
          <w:szCs w:val="22"/>
        </w:rPr>
        <w:t xml:space="preserve">The virtual office product described in Section 2.3 is live and represents the fastest path to first revenue from the Campus. The next phase involves validating the model through first transactions, then expanding to include day-use offices, weekly and monthly rentals, and meeting room bookings. This component requires its own project charter, operational plan, and growth strategy. The model is proven — Regus and IWG have demonstrated that flexible workspace generates stable, recurring revenue in government corridors.</w:t>
      </w:r>
    </w:p>
    <w:p>
      <w:pPr>
        <w:pStyle w:val="Heading2"/>
      </w:pPr>
      <w:r>
        <w:rPr>
          <w:rFonts w:ascii="Georgia" w:cs="Georgia" w:eastAsia="Georgia" w:hAnsi="Georgia"/>
        </w:rPr>
        <w:t xml:space="preserve">Component 3: Innovation &amp; Research Laboratory</w:t>
      </w:r>
    </w:p>
    <w:p>
      <w:pPr>
        <w:spacing w:after="120"/>
      </w:pPr>
      <w:r>
        <w:rPr>
          <w:rFonts w:ascii="Georgia" w:cs="Georgia" w:eastAsia="Georgia" w:hAnsi="Georgia"/>
          <w:i/>
          <w:iCs/>
          <w:color w:val="666666"/>
          <w:sz w:val="20"/>
          <w:szCs w:val="20"/>
        </w:rPr>
        <w:t xml:space="preserve">Status: Planned  |  Funding: CED, NSERC, provincial R&amp;D grants</w:t>
      </w:r>
    </w:p>
    <w:p>
      <w:pPr>
        <w:spacing w:after="200" w:line="276" w:lineRule="auto"/>
      </w:pPr>
      <w:r>
        <w:rPr>
          <w:rFonts w:ascii="Georgia" w:cs="Georgia" w:eastAsia="Georgia" w:hAnsi="Georgia"/>
          <w:color w:val="1A1A1A"/>
          <w:sz w:val="22"/>
          <w:szCs w:val="22"/>
        </w:rPr>
        <w:t xml:space="preserve">Design of a non-profit organization that positions the Campus as a site for applied research, innovation, and professional development. The structure ensures you maintain administrative control while partnering with institutional or private-sector collaborators who contribute expertise rather than capital. Potential partners include the Université du Québec en Outaouais, private-sector training firms with existing government contracts, or a purpose-built organization delivering professional development directly to federal, provincial, and municipal clients. The entity would qualify independently for government research and development funding.</w:t>
      </w:r>
    </w:p>
    <w:p>
      <w:pPr>
        <w:pStyle w:val="Heading2"/>
      </w:pPr>
      <w:r>
        <w:rPr>
          <w:rFonts w:ascii="Georgia" w:cs="Georgia" w:eastAsia="Georgia" w:hAnsi="Georgia"/>
        </w:rPr>
        <w:t xml:space="preserve">Component 4: Leadership &amp; Professional Training Services</w:t>
      </w:r>
    </w:p>
    <w:p>
      <w:pPr>
        <w:spacing w:after="120"/>
      </w:pPr>
      <w:r>
        <w:rPr>
          <w:rFonts w:ascii="Georgia" w:cs="Georgia" w:eastAsia="Georgia" w:hAnsi="Georgia"/>
          <w:i/>
          <w:iCs/>
          <w:color w:val="666666"/>
          <w:sz w:val="20"/>
          <w:szCs w:val="20"/>
        </w:rPr>
        <w:t xml:space="preserve">Status: Planned  |  Funding: GoC/GoQ training contracts, standing offers</w:t>
      </w:r>
    </w:p>
    <w:p>
      <w:pPr>
        <w:spacing w:after="200" w:line="276" w:lineRule="auto"/>
      </w:pPr>
      <w:r>
        <w:rPr>
          <w:rFonts w:ascii="Georgia" w:cs="Georgia" w:eastAsia="Georgia" w:hAnsi="Georgia"/>
          <w:color w:val="1A1A1A"/>
          <w:sz w:val="22"/>
          <w:szCs w:val="22"/>
        </w:rPr>
        <w:t xml:space="preserve">Analysis of the opportunity to deliver professional training and leadership development from the Campus. The approach is to partner with established providers who already hold government contracts, using the Campus as both venue and institutional base. This converts landlord-tenant relationships into strategic partnerships where tenants are co-invested in the Campus. Your existing tenants at 179 — private-sector firms doing business with the federal government — represent immediate candidates for this conversion.</w:t>
      </w:r>
    </w:p>
    <w:p>
      <w:pPr>
        <w:pStyle w:val="Heading2"/>
      </w:pPr>
      <w:r>
        <w:rPr>
          <w:rFonts w:ascii="Georgia" w:cs="Georgia" w:eastAsia="Georgia" w:hAnsi="Georgia"/>
        </w:rPr>
        <w:t xml:space="preserve">Component 5: Government Funding Strategy</w:t>
      </w:r>
    </w:p>
    <w:p>
      <w:pPr>
        <w:spacing w:after="120"/>
      </w:pPr>
      <w:r>
        <w:rPr>
          <w:rFonts w:ascii="Georgia" w:cs="Georgia" w:eastAsia="Georgia" w:hAnsi="Georgia"/>
          <w:i/>
          <w:iCs/>
          <w:color w:val="666666"/>
          <w:sz w:val="20"/>
          <w:szCs w:val="20"/>
        </w:rPr>
        <w:t xml:space="preserve">Status: In Progress  |  Funding: Enables all other components</w:t>
      </w:r>
    </w:p>
    <w:p>
      <w:pPr>
        <w:spacing w:after="200" w:line="276" w:lineRule="auto"/>
      </w:pPr>
      <w:r>
        <w:rPr>
          <w:rFonts w:ascii="Georgia" w:cs="Georgia" w:eastAsia="Georgia" w:hAnsi="Georgia"/>
          <w:color w:val="1A1A1A"/>
          <w:sz w:val="22"/>
          <w:szCs w:val="22"/>
        </w:rPr>
        <w:t xml:space="preserve">A cross-component funding roadmap that identifies, prioritizes, and sequences government funding applications across federal, provincial, and municipal programs. Each component qualifies for different funding streams. By structuring them as independent entities, total potential draw is maximized without conflicts between applications. This component also designs the governance architecture — including an advisory board of individuals with significant government relationships — to position every application for success.</w:t>
      </w:r>
    </w:p>
    <w:p>
      <w:pPr>
        <w:pStyle w:val="Heading2"/>
      </w:pPr>
      <w:r>
        <w:rPr>
          <w:rFonts w:ascii="Georgia" w:cs="Georgia" w:eastAsia="Georgia" w:hAnsi="Georgia"/>
        </w:rPr>
        <w:t xml:space="preserve">Component 6: Tax &amp; Wealth Architecture</w:t>
      </w:r>
    </w:p>
    <w:p>
      <w:pPr>
        <w:spacing w:after="120"/>
      </w:pPr>
      <w:r>
        <w:rPr>
          <w:rFonts w:ascii="Georgia" w:cs="Georgia" w:eastAsia="Georgia" w:hAnsi="Georgia"/>
          <w:i/>
          <w:iCs/>
          <w:color w:val="666666"/>
          <w:sz w:val="20"/>
          <w:szCs w:val="20"/>
        </w:rPr>
        <w:t xml:space="preserve">Status: Planned  |  Funding: Direct savings — no grant required</w:t>
      </w:r>
    </w:p>
    <w:p>
      <w:pPr>
        <w:spacing w:after="200" w:line="276" w:lineRule="auto"/>
      </w:pPr>
      <w:r>
        <w:rPr>
          <w:rFonts w:ascii="Georgia" w:cs="Georgia" w:eastAsia="Georgia" w:hAnsi="Georgia"/>
          <w:color w:val="1A1A1A"/>
          <w:sz w:val="22"/>
          <w:szCs w:val="22"/>
        </w:rPr>
        <w:t xml:space="preserve">Strategic considerations for tax-efficient structuring of your business interests, including holding company and operating company architecture, family trust provisions, and cross-entity optimization. This coordinates with your accountant and legal counsel to identify opportunities that reduce tax exposure and protect long-term wealth. These observations are starting points requiring professional validation — they ensure that structural decisions across the Campus and your broader portfolio are informed by a holistic view of the tax landscape.</w:t>
      </w:r>
    </w:p>
    <w:p>
      <w:pPr>
        <w:pStyle w:val="Heading2"/>
      </w:pPr>
      <w:r>
        <w:rPr>
          <w:rFonts w:ascii="Georgia" w:cs="Georgia" w:eastAsia="Georgia" w:hAnsi="Georgia"/>
        </w:rPr>
        <w:t xml:space="preserve">Component 7: Capital Attraction Strategy</w:t>
      </w:r>
    </w:p>
    <w:p>
      <w:pPr>
        <w:spacing w:after="120"/>
      </w:pPr>
      <w:r>
        <w:rPr>
          <w:rFonts w:ascii="Georgia" w:cs="Georgia" w:eastAsia="Georgia" w:hAnsi="Georgia"/>
          <w:i/>
          <w:iCs/>
          <w:color w:val="666666"/>
          <w:sz w:val="20"/>
          <w:szCs w:val="20"/>
        </w:rPr>
        <w:t xml:space="preserve">Status: Planned  |  Funding: Direct investment — no grant required</w:t>
      </w:r>
    </w:p>
    <w:p>
      <w:pPr>
        <w:spacing w:after="200" w:line="276" w:lineRule="auto"/>
      </w:pPr>
      <w:r>
        <w:rPr>
          <w:rFonts w:ascii="Georgia" w:cs="Georgia" w:eastAsia="Georgia" w:hAnsi="Georgia"/>
          <w:color w:val="1A1A1A"/>
          <w:sz w:val="22"/>
          <w:szCs w:val="22"/>
        </w:rPr>
        <w:t xml:space="preserve">There are investors around the world — in the Gulf states, in Southeast Asia, in Europe, in Turkey — who need to diversify capital into stable, well-governed jurisdictions. Canada is among the most attractive destinations. Your portfolio, your CMHC track record, and your reputation make you an ideal partner for investors seeking Canadian real estate exposure. This component designs the strategy for positioning you as a fund manager and investment partner — someone who attracts capital, structures it within Canadian regulatory requirements, and deploys it into development projects. The work I have done reviewing international investment proposals for your organization has given me a detailed understanding of how these relationships are structured and how to negotiate from strength.</w:t>
      </w:r>
    </w:p>
    <w:p>
      <w:pPr>
        <w:pStyle w:val="Heading2"/>
      </w:pPr>
      <w:r>
        <w:rPr>
          <w:rFonts w:ascii="Georgia" w:cs="Georgia" w:eastAsia="Georgia" w:hAnsi="Georgia"/>
        </w:rPr>
        <w:t xml:space="preserve">Component 8: Governance &amp; Entity Structure</w:t>
      </w:r>
    </w:p>
    <w:p>
      <w:pPr>
        <w:spacing w:after="120"/>
      </w:pPr>
      <w:r>
        <w:rPr>
          <w:rFonts w:ascii="Georgia" w:cs="Georgia" w:eastAsia="Georgia" w:hAnsi="Georgia"/>
          <w:i/>
          <w:iCs/>
          <w:color w:val="666666"/>
          <w:sz w:val="20"/>
          <w:szCs w:val="20"/>
        </w:rPr>
        <w:t xml:space="preserve">Status: Planned  |  Funding: Enables grant eligibility + institutional credibility</w:t>
      </w:r>
    </w:p>
    <w:p>
      <w:pPr>
        <w:spacing w:after="200" w:line="276" w:lineRule="auto"/>
      </w:pPr>
      <w:r>
        <w:rPr>
          <w:rFonts w:ascii="Georgia" w:cs="Georgia" w:eastAsia="Georgia" w:hAnsi="Georgia"/>
          <w:color w:val="1A1A1A"/>
          <w:sz w:val="22"/>
          <w:szCs w:val="22"/>
        </w:rPr>
        <w:t xml:space="preserve">Design of the institutional governance framework for the Campus and your broader interests. This includes formation of non-profit entities, composition of an advisory board, and implementation of professional management practices that allow you to step back from daily operations without losing strategic control. The advisory board is envisioned to include individuals with significant public-sector experience, institutional relationships, and a shared commitment to the Campus mission. Governance is the mechanism that unlocks institutional funding, attracts serious partners, and protects your interests through transparent, accountable management.</w:t>
      </w:r>
    </w:p>
    <w:p>
      <w:pPr>
        <w:pStyle w:val="Heading1"/>
        <w:pageBreakBefore/>
      </w:pPr>
      <w:r>
        <w:rPr>
          <w:rFonts w:ascii="Georgia" w:cs="Georgia" w:eastAsia="Georgia" w:hAnsi="Georgia"/>
        </w:rPr>
        <w:t xml:space="preserve">5. Advisory Scope &amp; Engagement Parameters</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This engagement is designed so that you deal with one person. I am your single point of contact for the entire Capital Corridor Campus strategy. I do the thinking, I build and manage the relationships, I identify and secure the funding, and I find and coordinate the operators who execute the work on the ground. You talk to me. I manage everything else.</w:t>
      </w:r>
    </w:p>
    <w:p>
      <w:pPr>
        <w:spacing w:after="200" w:line="276" w:lineRule="auto"/>
      </w:pPr>
      <w:r>
        <w:rPr>
          <w:rFonts w:ascii="Georgia" w:cs="Georgia" w:eastAsia="Georgia" w:hAnsi="Georgia"/>
          <w:color w:val="1A1A1A"/>
          <w:sz w:val="22"/>
          <w:szCs w:val="22"/>
        </w:rPr>
        <w:t xml:space="preserve">This is a deliberate choice based on our shared experience. During the first phase of our work together at La Cité Gatineau, I contributed across a broad range of activities — from strategic positioning to construction coordination, from marketing to tenant relations. That breadth was necessary at the time, but it taught us both an important lesson: </w:t>
      </w:r>
      <w:r>
        <w:rPr>
          <w:rFonts w:ascii="Georgia" w:cs="Georgia" w:eastAsia="Georgia" w:hAnsi="Georgia"/>
          <w:b/>
          <w:bCs/>
          <w:color w:val="1A1A1A"/>
          <w:sz w:val="22"/>
          <w:szCs w:val="22"/>
        </w:rPr>
        <w:t xml:space="preserve">the highest value I bring is not in the execution of tasks, but in the design of strategies that create opportunities you would not otherwise see, and in managing the people and relationships that turn those strategies into results.</w:t>
      </w:r>
    </w:p>
    <w:p>
      <w:pPr>
        <w:spacing w:after="200" w:line="276" w:lineRule="auto"/>
      </w:pPr>
      <w:r>
        <w:rPr>
          <w:rFonts w:ascii="Georgia" w:cs="Georgia" w:eastAsia="Georgia" w:hAnsi="Georgia"/>
          <w:color w:val="1A1A1A"/>
          <w:sz w:val="22"/>
          <w:szCs w:val="22"/>
        </w:rPr>
        <w:t xml:space="preserve">The operational execution — managing tenants, overseeing construction, maintaining buildings — is essential, but it requires a different skill set and a different cost structure. My role is to find the right people for those tasks, bring them to you for approval, and manage them on your behalf. You should never have to coordinate between multiple advisors, contractors, or consultants. That coordination is my responsibility.</w:t>
      </w:r>
    </w:p>
    <w:p>
      <w:pPr>
        <w:spacing w:after="200" w:line="276" w:lineRule="auto"/>
      </w:pPr>
      <w:r>
        <w:rPr>
          <w:rFonts w:ascii="Georgia" w:cs="Georgia" w:eastAsia="Georgia" w:hAnsi="Georgia"/>
          <w:color w:val="1A1A1A"/>
          <w:sz w:val="22"/>
          <w:szCs w:val="22"/>
        </w:rPr>
        <w:t xml:space="preserve">This engagement is built around two core capabilities:</w:t>
      </w:r>
    </w:p>
    <w:p>
      <w:pPr>
        <w:pStyle w:val="ListParagraph"/>
        <w:numPr>
          <w:ilvl w:val="0"/>
          <w:numId w:val="4"/>
        </w:numPr>
        <w:spacing w:after="120" w:line="276" w:lineRule="auto"/>
      </w:pPr>
      <w:r>
        <w:rPr>
          <w:rFonts w:ascii="Georgia" w:cs="Georgia" w:eastAsia="Georgia" w:hAnsi="Georgia"/>
          <w:b/>
          <w:bCs/>
          <w:color w:val="1A1A1A"/>
          <w:sz w:val="22"/>
          <w:szCs w:val="22"/>
        </w:rPr>
        <w:t xml:space="preserve">Strategic Planning &amp; Holistic Portfolio Thinking</w:t>
      </w:r>
      <w:r>
        <w:rPr>
          <w:rFonts w:ascii="Georgia" w:cs="Georgia" w:eastAsia="Georgia" w:hAnsi="Georgia"/>
          <w:color w:val="1A1A1A"/>
          <w:sz w:val="22"/>
          <w:szCs w:val="22"/>
        </w:rPr>
        <w:t xml:space="preserve"> — connecting property strategy, government policy, education partnerships, funding opportunities, tax architecture, and foreign investment into a single coherent direction.</w:t>
      </w:r>
    </w:p>
    <w:p>
      <w:pPr>
        <w:pStyle w:val="ListParagraph"/>
        <w:numPr>
          <w:ilvl w:val="0"/>
          <w:numId w:val="4"/>
        </w:numPr>
        <w:spacing w:after="120" w:line="276" w:lineRule="auto"/>
      </w:pPr>
      <w:r>
        <w:rPr>
          <w:rFonts w:ascii="Georgia" w:cs="Georgia" w:eastAsia="Georgia" w:hAnsi="Georgia"/>
          <w:b/>
          <w:bCs/>
          <w:color w:val="1A1A1A"/>
          <w:sz w:val="22"/>
          <w:szCs w:val="22"/>
        </w:rPr>
        <w:t xml:space="preserve">Relationship Management &amp; Stakeholder Engagement</w:t>
      </w:r>
      <w:r>
        <w:rPr>
          <w:rFonts w:ascii="Georgia" w:cs="Georgia" w:eastAsia="Georgia" w:hAnsi="Georgia"/>
          <w:color w:val="1A1A1A"/>
          <w:sz w:val="22"/>
          <w:szCs w:val="22"/>
        </w:rPr>
        <w:t xml:space="preserve"> — building and managing the institutional, government, and private-sector relationships that make this strategy possible, including the identification and oversight of operational professionals who execute the plans.</w:t>
      </w:r>
    </w:p>
    <w:p>
      <w:pPr>
        <w:spacing w:after="200" w:line="276" w:lineRule="auto"/>
      </w:pPr>
      <w:r>
        <w:rPr>
          <w:rFonts w:ascii="Georgia" w:cs="Georgia" w:eastAsia="Georgia" w:hAnsi="Georgia"/>
          <w:color w:val="1A1A1A"/>
          <w:sz w:val="22"/>
          <w:szCs w:val="22"/>
        </w:rPr>
        <w:t xml:space="preserve">The result is a turnkey advisory relationship. You invest your time where it matters most — in the relationships and decisions that only you can make — and I handle the architecture, the coordination, and the execution management that brings it all together.</w:t>
      </w:r>
    </w:p>
    <w:p>
      <w:pPr>
        <w:pStyle w:val="Heading1"/>
      </w:pPr>
      <w:r>
        <w:rPr>
          <w:rFonts w:ascii="Georgia" w:cs="Georgia" w:eastAsia="Georgia" w:hAnsi="Georgia"/>
        </w:rPr>
        <w:t xml:space="preserve">6. The Opportunity Before You</w:t>
      </w:r>
    </w:p>
    <w:p>
      <w:pPr>
        <w:pBdr>
          <w:bottom w:val="single" w:color="CFB53B" w:sz="6" w:space="1"/>
        </w:pBdr>
        <w:spacing w:after="200" w:before="80"/>
      </w:pPr>
    </w:p>
    <w:p>
      <w:pPr>
        <w:spacing w:after="200" w:line="276" w:lineRule="auto"/>
      </w:pPr>
      <w:r>
        <w:rPr>
          <w:rFonts w:ascii="Georgia" w:cs="Georgia" w:eastAsia="Georgia" w:hAnsi="Georgia"/>
          <w:color w:val="1A1A1A"/>
          <w:sz w:val="22"/>
          <w:szCs w:val="22"/>
        </w:rPr>
        <w:t xml:space="preserve">You have built something remarkable. La Cité Gatineau Phase 1 is 97% occupied with an $86 million CMHC loan performing ahead of expectations. Four banks are competing to finance Phase 2. Your land is clear. Your reputation in this market is established.</w:t>
      </w:r>
    </w:p>
    <w:p>
      <w:pPr>
        <w:spacing w:after="200" w:line="276" w:lineRule="auto"/>
      </w:pPr>
      <w:r>
        <w:rPr>
          <w:rFonts w:ascii="Georgia" w:cs="Georgia" w:eastAsia="Georgia" w:hAnsi="Georgia"/>
          <w:color w:val="1A1A1A"/>
          <w:sz w:val="22"/>
          <w:szCs w:val="22"/>
        </w:rPr>
        <w:t xml:space="preserve">The question is not whether you have the resources to succeed. The question is whether you want to continue doing everything yourself — managing every property, negotiating every lease, handling every crisis — or whether you are ready to step into a role that leverages your most valuable asset: your ability to build relationships, attract capital, and see opportunities before others do.</w:t>
      </w:r>
    </w:p>
    <w:p>
      <w:pPr>
        <w:spacing w:after="200" w:line="276" w:lineRule="auto"/>
      </w:pPr>
      <w:r>
        <w:rPr>
          <w:rFonts w:ascii="Georgia" w:cs="Georgia" w:eastAsia="Georgia" w:hAnsi="Georgia"/>
          <w:color w:val="1A1A1A"/>
          <w:sz w:val="22"/>
          <w:szCs w:val="22"/>
        </w:rPr>
        <w:t xml:space="preserve">The Capital Corridor Campus solves the vacancy problem through captive enterprise partnerships. It creates new revenue streams through government-funded programs. It positions you as a fund manager who attracts investment rather than a developer who carries every project alone. And it builds the institutional structure — governance board, professional management, non-profit entities — that allows you to operate at the strategic level while others handle the operational detail.</w:t>
      </w:r>
    </w:p>
    <w:p>
      <w:pPr>
        <w:spacing w:after="200" w:line="276" w:lineRule="auto"/>
      </w:pPr>
      <w:r>
        <w:rPr>
          <w:rFonts w:ascii="Georgia" w:cs="Georgia" w:eastAsia="Georgia" w:hAnsi="Georgia"/>
          <w:color w:val="1A1A1A"/>
          <w:sz w:val="22"/>
          <w:szCs w:val="22"/>
        </w:rPr>
        <w:t xml:space="preserve">The breadth of work I have done across your portfolio — from the La Cité Phase 1 buildout, to the analysis of international investment proposals, to the feasibility study enclosed with this document — has given me a comprehensive understanding of your assets, your opportunities, and the changes that would create the most value. The components described here represent those opportunities, organized for independent execution and funding.</w:t>
      </w:r>
    </w:p>
    <w:p>
      <w:pPr>
        <w:spacing w:after="200" w:line="276" w:lineRule="auto"/>
      </w:pPr>
      <w:r>
        <w:rPr>
          <w:rFonts w:ascii="Georgia" w:cs="Georgia" w:eastAsia="Georgia" w:hAnsi="Georgia"/>
          <w:color w:val="1A1A1A"/>
          <w:sz w:val="22"/>
          <w:szCs w:val="22"/>
        </w:rPr>
        <w:t xml:space="preserve">I will bring them to you one at a time. We begin with the salon-academy and the ESSOR application. The rest follow in sequence, each building on the last.</w:t>
      </w:r>
    </w:p>
    <w:p>
      <w:pPr>
        <w:pStyle w:val="Heading1"/>
      </w:pPr>
      <w:r>
        <w:rPr>
          <w:rFonts w:ascii="Georgia" w:cs="Georgia" w:eastAsia="Georgia" w:hAnsi="Georgia"/>
        </w:rPr>
        <w:t xml:space="preserve">7. Next Steps</w:t>
      </w:r>
    </w:p>
    <w:p>
      <w:pPr>
        <w:pBdr>
          <w:bottom w:val="single" w:color="CFB53B" w:sz="6" w:space="1"/>
        </w:pBdr>
        <w:spacing w:after="200" w:before="80"/>
      </w:pPr>
    </w:p>
    <w:p>
      <w:pPr>
        <w:pStyle w:val="ListParagraph"/>
        <w:numPr>
          <w:ilvl w:val="0"/>
          <w:numId w:val="5"/>
        </w:numPr>
        <w:spacing w:after="120" w:line="276" w:lineRule="auto"/>
      </w:pPr>
      <w:r>
        <w:rPr>
          <w:rFonts w:ascii="Georgia" w:cs="Georgia" w:eastAsia="Georgia" w:hAnsi="Georgia"/>
          <w:b/>
          <w:bCs/>
          <w:color w:val="1A1A1A"/>
          <w:sz w:val="22"/>
          <w:szCs w:val="22"/>
        </w:rPr>
        <w:t xml:space="preserve">ESSOR Volet 1A Application</w:t>
      </w:r>
      <w:r>
        <w:rPr>
          <w:rFonts w:ascii="Georgia" w:cs="Georgia" w:eastAsia="Georgia" w:hAnsi="Georgia"/>
          <w:color w:val="1A1A1A"/>
          <w:sz w:val="22"/>
          <w:szCs w:val="22"/>
        </w:rPr>
        <w:t xml:space="preserve"> — being finalized with your accountant for submission this week. Covers the salon-academy feasibility and reimburses up to 50% of eligible consulting fees.</w:t>
      </w:r>
    </w:p>
    <w:p>
      <w:pPr>
        <w:pStyle w:val="ListParagraph"/>
        <w:numPr>
          <w:ilvl w:val="0"/>
          <w:numId w:val="5"/>
        </w:numPr>
        <w:spacing w:after="120" w:line="276" w:lineRule="auto"/>
      </w:pPr>
      <w:r>
        <w:rPr>
          <w:rFonts w:ascii="Georgia" w:cs="Georgia" w:eastAsia="Georgia" w:hAnsi="Georgia"/>
          <w:b/>
          <w:bCs/>
          <w:color w:val="1A1A1A"/>
          <w:sz w:val="22"/>
          <w:szCs w:val="22"/>
        </w:rPr>
        <w:t xml:space="preserve">Virtual Office First Transaction</w:t>
      </w:r>
      <w:r>
        <w:rPr>
          <w:rFonts w:ascii="Georgia" w:cs="Georgia" w:eastAsia="Georgia" w:hAnsi="Georgia"/>
          <w:color w:val="1A1A1A"/>
          <w:sz w:val="22"/>
          <w:szCs w:val="22"/>
        </w:rPr>
        <w:t xml:space="preserve"> — the product is live. First confirmed booking validates the model and triggers expansion planning.</w:t>
      </w:r>
    </w:p>
    <w:p>
      <w:pPr>
        <w:pStyle w:val="ListParagraph"/>
        <w:numPr>
          <w:ilvl w:val="0"/>
          <w:numId w:val="5"/>
        </w:numPr>
        <w:spacing w:after="120" w:line="276" w:lineRule="auto"/>
      </w:pPr>
      <w:r>
        <w:rPr>
          <w:rFonts w:ascii="Georgia" w:cs="Georgia" w:eastAsia="Georgia" w:hAnsi="Georgia"/>
          <w:b/>
          <w:bCs/>
          <w:color w:val="1A1A1A"/>
          <w:sz w:val="22"/>
          <w:szCs w:val="22"/>
        </w:rPr>
        <w:t xml:space="preserve">Tax &amp; Wealth Architecture</w:t>
      </w:r>
      <w:r>
        <w:rPr>
          <w:rFonts w:ascii="Georgia" w:cs="Georgia" w:eastAsia="Georgia" w:hAnsi="Georgia"/>
          <w:color w:val="1A1A1A"/>
          <w:sz w:val="22"/>
          <w:szCs w:val="22"/>
        </w:rPr>
        <w:t xml:space="preserve"> — preliminary observations to be delivered within two weeks, in coordination with your accountant. Immediate, tangible value.</w:t>
      </w:r>
    </w:p>
    <w:p>
      <w:pPr>
        <w:pStyle w:val="ListParagraph"/>
        <w:numPr>
          <w:ilvl w:val="0"/>
          <w:numId w:val="5"/>
        </w:numPr>
        <w:spacing w:after="120" w:line="276" w:lineRule="auto"/>
      </w:pPr>
      <w:r>
        <w:rPr>
          <w:rFonts w:ascii="Georgia" w:cs="Georgia" w:eastAsia="Georgia" w:hAnsi="Georgia"/>
          <w:b/>
          <w:bCs/>
          <w:color w:val="1A1A1A"/>
          <w:sz w:val="22"/>
          <w:szCs w:val="22"/>
        </w:rPr>
        <w:t xml:space="preserve">Capital Attraction Strategy</w:t>
      </w:r>
      <w:r>
        <w:rPr>
          <w:rFonts w:ascii="Georgia" w:cs="Georgia" w:eastAsia="Georgia" w:hAnsi="Georgia"/>
          <w:color w:val="1A1A1A"/>
          <w:sz w:val="22"/>
          <w:szCs w:val="22"/>
        </w:rPr>
        <w:t xml:space="preserve"> — building on the international proposal review, a structured approach to positioning your portfolio for global investment.</w:t>
      </w:r>
    </w:p>
    <w:p>
      <w:pPr>
        <w:pStyle w:val="ListParagraph"/>
        <w:numPr>
          <w:ilvl w:val="0"/>
          <w:numId w:val="5"/>
        </w:numPr>
        <w:spacing w:after="120" w:line="276" w:lineRule="auto"/>
      </w:pPr>
      <w:r>
        <w:rPr>
          <w:rFonts w:ascii="Georgia" w:cs="Georgia" w:eastAsia="Georgia" w:hAnsi="Georgia"/>
          <w:b/>
          <w:bCs/>
          <w:color w:val="1A1A1A"/>
          <w:sz w:val="22"/>
          <w:szCs w:val="22"/>
        </w:rPr>
        <w:t xml:space="preserve">Remaining Components</w:t>
      </w:r>
      <w:r>
        <w:rPr>
          <w:rFonts w:ascii="Georgia" w:cs="Georgia" w:eastAsia="Georgia" w:hAnsi="Georgia"/>
          <w:color w:val="1A1A1A"/>
          <w:sz w:val="22"/>
          <w:szCs w:val="22"/>
        </w:rPr>
        <w:t xml:space="preserve"> — delivered in sequence over the engagement period, each with its own funding application where applicable.</w:t>
      </w:r>
    </w:p>
    <w:p>
      <w:pPr>
        <w:spacing w:after="200" w:before="200"/>
      </w:pPr>
    </w:p>
    <w:p>
      <w:pPr>
        <w:spacing w:after="200" w:line="276" w:lineRule="auto"/>
      </w:pPr>
      <w:r>
        <w:rPr>
          <w:rFonts w:ascii="Georgia" w:cs="Georgia" w:eastAsia="Georgia" w:hAnsi="Georgia"/>
          <w:color w:val="1A1A1A"/>
          <w:sz w:val="22"/>
          <w:szCs w:val="22"/>
        </w:rPr>
        <w:t xml:space="preserve">I look forward to continuing this work together. The foundation is built. The first component is delivered. The path forward is clear.</w:t>
      </w:r>
    </w:p>
    <w:p>
      <w:pPr>
        <w:spacing w:after="400" w:before="400"/>
      </w:pPr>
    </w:p>
    <w:p>
      <w:pPr>
        <w:pBdr>
          <w:top w:val="single" w:color="CFB53B" w:sz="2" w:space="8"/>
        </w:pBdr>
        <w:spacing w:after="80" w:before="200"/>
        <w:jc w:val="center"/>
      </w:pPr>
      <w:r>
        <w:rPr>
          <w:rFonts w:ascii="Georgia" w:cs="Georgia" w:eastAsia="Georgia" w:hAnsi="Georgia"/>
          <w:b/>
          <w:bCs/>
          <w:color w:val="1B3154"/>
          <w:sz w:val="20"/>
          <w:szCs w:val="20"/>
        </w:rPr>
        <w:t xml:space="preserve">IBPROM Corp</w:t>
      </w:r>
    </w:p>
    <w:p>
      <w:pPr>
        <w:spacing w:after="40"/>
        <w:jc w:val="center"/>
      </w:pPr>
      <w:r>
        <w:rPr>
          <w:rFonts w:ascii="Georgia" w:cs="Georgia" w:eastAsia="Georgia" w:hAnsi="Georgia"/>
          <w:color w:val="666666"/>
          <w:sz w:val="18"/>
          <w:szCs w:val="18"/>
        </w:rPr>
        <w:t xml:space="preserve">josephsoares.com  |  josephsoares.com</w:t>
      </w:r>
    </w:p>
    <w:p>
      <w:pPr>
        <w:jc w:val="center"/>
      </w:pPr>
      <w:r>
        <w:rPr>
          <w:rFonts w:ascii="Georgia" w:cs="Georgia" w:eastAsia="Georgia" w:hAnsi="Georgia"/>
          <w:color w:val="666666"/>
          <w:sz w:val="18"/>
          <w:szCs w:val="18"/>
        </w:rPr>
        <w:t xml:space="preserve">Gatineau, Quebec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B53B" w:sz="1" w:space="4"/>
      </w:pBdr>
      <w:jc w:val="center"/>
    </w:pPr>
    <w:r>
      <w:rPr>
        <w:rFonts w:ascii="Georgia" w:cs="Georgia" w:eastAsia="Georgia" w:hAnsi="Georgia"/>
        <w:color w:val="999999"/>
        <w:sz w:val="16"/>
        <w:szCs w:val="16"/>
      </w:rPr>
      <w:t xml:space="preserve">Confidential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B53B" w:sz="2" w:space="4"/>
      </w:pBdr>
    </w:pPr>
    <w:r>
      <w:rPr>
        <w:rFonts w:ascii="Georgia" w:cs="Georgia" w:eastAsia="Georgia" w:hAnsi="Georgia"/>
        <w:i/>
        <w:iCs/>
        <w:color w:val="CFB53B"/>
        <w:sz w:val="16"/>
        <w:szCs w:val="16"/>
      </w:rPr>
      <w:t xml:space="preserve">IBPROM Corp</w:t>
    </w:r>
    <w:r>
      <w:rPr>
        <w:rFonts w:ascii="Georgia" w:cs="Georgia" w:eastAsia="Georgia" w:hAnsi="Georgia"/>
        <w:i/>
        <w:iCs/>
        <w:color w:val="999999"/>
        <w:sz w:val="16"/>
        <w:szCs w:val="16"/>
      </w:rPr>
      <w:t xml:space="preserve">  |  Capital Corridor Campus — Strategic Engagement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154"/>
      <w:sz w:val="30"/>
      <w:szCs w:val="30"/>
    </w:rPr>
  </w:style>
  <w:style w:type="paragraph" w:styleId="Heading2">
    <w:name w:val="Heading 2"/>
    <w:basedOn w:val="Normal"/>
    <w:next w:val="Normal"/>
    <w:qFormat/>
    <w:pPr>
      <w:spacing w:after="160" w:before="240"/>
      <w:outlineLvl w:val="1"/>
    </w:pPr>
    <w:rPr>
      <w:rFonts w:ascii="Georgia" w:cs="Georgia" w:eastAsia="Georgia" w:hAnsi="Georgia"/>
      <w:b/>
      <w:bCs/>
      <w:color w:val="1B31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2026-04-11T20:29:24.520Z</dcterms:created>
  <dcterms:modified xsi:type="dcterms:W3CDTF">2026-04-11T20:29:24.520Z</dcterms:modified>
</cp:coreProperties>
</file>

<file path=docProps/custom.xml><?xml version="1.0" encoding="utf-8"?>
<Properties xmlns="http://schemas.openxmlformats.org/officeDocument/2006/custom-properties" xmlns:vt="http://schemas.openxmlformats.org/officeDocument/2006/docPropsVTypes"/>
</file>