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0C1A2E"/>
          <w:sz w:val="36"/>
          <w:szCs w:val="36"/>
        </w:rPr>
        <w:t xml:space="preserve">CLAUSE-BY-CLAUSE RATIONALE</w:t>
      </w:r>
    </w:p>
    <w:p>
      <w:pPr>
        <w:spacing w:after="40"/>
        <w:jc w:val="center"/>
      </w:pPr>
      <w:r>
        <w:rPr>
          <w:rFonts w:ascii="Georgia" w:cs="Georgia" w:eastAsia="Georgia" w:hAnsi="Georgia"/>
          <w:color w:val="C9A84C"/>
          <w:sz w:val="24"/>
          <w:szCs w:val="24"/>
        </w:rPr>
        <w:t xml:space="preserve">Response to Ozturk Holding Joint Venture Proposals</w:t>
      </w:r>
    </w:p>
    <w:p>
      <w:pPr>
        <w:spacing w:after="20"/>
        <w:jc w:val="center"/>
      </w:pPr>
      <w:r>
        <w:rPr>
          <w:rFonts w:ascii="Georgia" w:cs="Georgia" w:eastAsia="Georgia" w:hAnsi="Georgia"/>
          <w:i/>
          <w:iCs/>
          <w:color w:val="3A4A5C"/>
          <w:sz w:val="20"/>
          <w:szCs w:val="20"/>
        </w:rPr>
        <w:t xml:space="preserve">Prepared by IBPROM Corp for Dr. Nader Agharazi-Dormani</w:t>
      </w:r>
    </w:p>
    <w:p>
      <w:pPr>
        <w:spacing w:after="200"/>
        <w:jc w:val="center"/>
      </w:pPr>
      <w:r>
        <w:rPr>
          <w:rFonts w:ascii="Georgia" w:cs="Georgia" w:eastAsia="Georgia" w:hAnsi="Georgia"/>
          <w:b/>
          <w:bCs/>
          <w:color w:val="3A4A5C"/>
          <w:sz w:val="20"/>
          <w:szCs w:val="20"/>
        </w:rPr>
        <w:t xml:space="preserve">April 9, 2026 — PRIVILEGED AND CONFIDENTIAL</w:t>
      </w:r>
    </w:p>
    <w:p>
      <w:pPr>
        <w:pBdr>
          <w:bottom w:val="single" w:color="0C1A2E" w:sz="2" w:space="1"/>
        </w:pBdr>
        <w:spacing w:after="240"/>
      </w:pPr>
    </w:p>
    <w:p>
      <w:pPr>
        <w:spacing w:after="320" w:before="480"/>
      </w:pPr>
      <w:r>
        <w:rPr>
          <w:rFonts w:ascii="Georgia" w:cs="Georgia" w:eastAsia="Georgia" w:hAnsi="Georgia"/>
          <w:b/>
          <w:bCs/>
          <w:color w:val="0C1A2E"/>
          <w:sz w:val="24"/>
          <w:szCs w:val="24"/>
        </w:rPr>
        <w:t xml:space="preserve">Purpose of This Document</w:t>
      </w:r>
    </w:p>
    <w:p>
      <w:pPr>
        <w:spacing w:after="280" w:line="360"/>
        <w:jc w:val="left"/>
      </w:pPr>
      <w:r>
        <w:rPr>
          <w:rFonts w:ascii="Georgia" w:cs="Georgia" w:eastAsia="Georgia" w:hAnsi="Georgia"/>
          <w:b w:val="false"/>
          <w:bCs w:val="false"/>
          <w:i w:val="false"/>
          <w:iCs w:val="false"/>
          <w:color w:val="3A4A5C"/>
          <w:sz w:val="22"/>
          <w:szCs w:val="22"/>
        </w:rPr>
        <w:t xml:space="preserve">This document accompanies the draft response letter to Ozturk Holding and provides the legal, regulatory, and commercial rationale behind each position taken. Every objection raised in the letter is grounded in Canadian statute, case law, or established commercial practice. The purpose is to ensure that Dr. Dormani has full visibility into the reasoning behind each recommendation before any communication is sent.</w:t>
      </w:r>
    </w:p>
    <w:p>
      <w:pPr>
        <w:spacing w:after="280" w:line="360"/>
        <w:jc w:val="left"/>
      </w:pPr>
      <w:r>
        <w:rPr>
          <w:rFonts w:ascii="Georgia" w:cs="Georgia" w:eastAsia="Georgia" w:hAnsi="Georgia"/>
          <w:b w:val="false"/>
          <w:bCs w:val="false"/>
          <w:i w:val="false"/>
          <w:iCs w:val="false"/>
          <w:color w:val="3A4A5C"/>
          <w:sz w:val="22"/>
          <w:szCs w:val="22"/>
        </w:rPr>
        <w:t xml:space="preserve">This document is privileged. It should not be shared with Ozturk Holding or any third party.</w:t>
      </w:r>
    </w:p>
    <w:p>
      <w:r>
        <w:br w:type="page"/>
      </w:r>
    </w:p>
    <w:p>
      <w:pPr>
        <w:spacing w:after="320" w:before="600"/>
      </w:pPr>
      <w:r>
        <w:rPr>
          <w:rFonts w:ascii="Georgia" w:cs="Georgia" w:eastAsia="Georgia" w:hAnsi="Georgia"/>
          <w:b/>
          <w:bCs/>
          <w:color w:val="0C1A2E"/>
          <w:sz w:val="28"/>
          <w:szCs w:val="28"/>
        </w:rPr>
        <w:t xml:space="preserve">1. Stablecoin, Cryptocurrency, and Advance Fee Payment</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first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Roadmap, Articles 1.1–1.2; Proposal 1, Section 5.3.1</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Proceeds of Crime (Money Laundering) and Terrorist Financing Act</w:t>
      </w:r>
      <w:r>
        <w:rPr>
          <w:rFonts w:ascii="Georgia" w:cs="Georgia" w:eastAsia="Georgia" w:hAnsi="Georgia"/>
          <w:color w:val="3A4A5C"/>
          <w:sz w:val="22"/>
          <w:szCs w:val="22"/>
        </w:rPr>
        <w:t xml:space="preserve"> (PCMLTFA), S.C. 2000, c. 17 — Canada's primary anti-money laundering statute. All money services businesses and financial intermediaries dealing in virtual currency are subject to registration, reporting, and record-keeping obligations under FINTRAC. A real estate joint venture conducting transactions in stablecoin would trigger these requirements and invite regulatory scrutiny that no institutional lender would tolerate.</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CMHC Lending Conditions</w:t>
      </w:r>
      <w:r>
        <w:rPr>
          <w:rFonts w:ascii="Georgia" w:cs="Georgia" w:eastAsia="Georgia" w:hAnsi="Georgia"/>
          <w:color w:val="3A4A5C"/>
          <w:sz w:val="22"/>
          <w:szCs w:val="22"/>
        </w:rPr>
        <w:t xml:space="preserve"> — CMHC-insured and CMHC Select financing requires that all capital flows be traceable through regulated Canadian financial institutions. Cryptocurrency transactions are incompatible with CMHC underwriting standards. Any structure involving crypto deposits would disqualify the project from CMHC financing, which is the most advantageous debt instrument available for this development.</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Criminal Code of Canada, s. 380 (Fraud)</w:t>
      </w:r>
      <w:r>
        <w:rPr>
          <w:rFonts w:ascii="Georgia" w:cs="Georgia" w:eastAsia="Georgia" w:hAnsi="Georgia"/>
          <w:color w:val="3A4A5C"/>
          <w:sz w:val="22"/>
          <w:szCs w:val="22"/>
        </w:rPr>
        <w:t xml:space="preserve"> — While we are not alleging fraud, it must be noted that advance fee schemes — where a party is required to pay money before receiving any service, value, or consideration — are a recognized pattern in Canadian fraud jurisprudence. The requirement to pay a fee in advance to a prospective partner, before any work has been performed or any contractual obligation has been fulfilled, is not consistent with standard commercial practice in Canada and would raise immediate red flags with any Canadian legal or financial advisor.</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Canadian Securities Administrators (CSA) Staff Notice 21-327</w:t>
      </w:r>
      <w:r>
        <w:rPr>
          <w:rFonts w:ascii="Georgia" w:cs="Georgia" w:eastAsia="Georgia" w:hAnsi="Georgia"/>
          <w:color w:val="3A4A5C"/>
          <w:sz w:val="22"/>
          <w:szCs w:val="22"/>
        </w:rPr>
        <w:t xml:space="preserve"> — Guidance on crypto asset trading platforms confirms that stablecoins are treated as securities or derivatives in many contexts under Canadian law, adding further regulatory complexity.</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 proposal requires deposits or fee payments in stablecoin. In a Canadian context, this creates three separate problems. First, FINTRAC compliance obligations would add cost, delay, and regulatory exposure that serves no commercial purpose. Second, CMHC would not finance a project with cryptocurrency in its capital structure. Third, the advance fee requirement — separate from the currency question — has no commercial justification. In legitimate joint ventures, fees are earned against milestones or paid at closing, not demanded in advance of any work.</w:t>
      </w:r>
    </w:p>
    <w:p>
      <w:pPr>
        <w:spacing w:after="200" w:line="360"/>
        <w:jc w:val="left"/>
      </w:pPr>
      <w:r>
        <w:rPr>
          <w:rFonts w:ascii="Georgia" w:cs="Georgia" w:eastAsia="Georgia" w:hAnsi="Georgia"/>
          <w:b w:val="false"/>
          <w:bCs w:val="false"/>
          <w:i w:val="false"/>
          <w:iCs w:val="false"/>
          <w:color w:val="3A4A5C"/>
          <w:sz w:val="22"/>
          <w:szCs w:val="22"/>
        </w:rPr>
        <w:t xml:space="preserve">The combination of these two elements — cryptocurrency and advance fees — appearing together in the same proposal is worth noting. Each is problematic on its own. Together, they represent a structural concern that must be addressed directly and resolved completely before any further negotiation.</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All financial transactions in Canadian dollars through regulated Canadian banking channels. No cryptocurrency of any kind. No advance fee payments. Any consulting, advisory, or intermediary fees must be tied to defined services, payable at or after closing, and disclosed in full.</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2. Non-Compete Clause</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second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Confidentiality Agreement, Article 5</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Shafron v. KRG Insurance Brokers</w:t>
      </w:r>
      <w:r>
        <w:rPr>
          <w:rFonts w:ascii="Georgia" w:cs="Georgia" w:eastAsia="Georgia" w:hAnsi="Georgia"/>
          <w:color w:val="3A4A5C"/>
          <w:sz w:val="22"/>
          <w:szCs w:val="22"/>
        </w:rPr>
        <w:t xml:space="preserve">, 2009 SCC 6 — The Supreme Court of Canada held that restrictive covenants must be reasonable in scope, geography, and duration. A non-compete that is ambiguous or overbroad is void and unenforceable. The Court refused to "read down" an unreasonable clause to make it enforceable — the drafter bears the risk of overreach.</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Payette v. Guay inc.</w:t>
      </w:r>
      <w:r>
        <w:rPr>
          <w:rFonts w:ascii="Georgia" w:cs="Georgia" w:eastAsia="Georgia" w:hAnsi="Georgia"/>
          <w:color w:val="3A4A5C"/>
          <w:sz w:val="22"/>
          <w:szCs w:val="22"/>
        </w:rPr>
        <w:t xml:space="preserve">, 2013 SCC 45 — Confirmed that non-competition clauses in commercial contracts (as opposed to employment) are assessed for reasonableness, though with somewhat more flexibility than in the employment context. The clause must still protect a legitimate business interest and be proportionate.</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Quebec Civil Code, art. 2089</w:t>
      </w:r>
      <w:r>
        <w:rPr>
          <w:rFonts w:ascii="Georgia" w:cs="Georgia" w:eastAsia="Georgia" w:hAnsi="Georgia"/>
          <w:color w:val="3A4A5C"/>
          <w:sz w:val="22"/>
          <w:szCs w:val="22"/>
        </w:rPr>
        <w:t xml:space="preserve"> — Applicable because the project is located in Quebec. Non-competition clauses must be limited in time, place, and the type of activity restricted. Courts may reduce excessive clauses but prefer to void them entirely when the overreach is egregious.</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 proposed clause restricts Dr. Dormani and his entities from competing in any related business, anywhere in the world, for ten years. This is not a non-compete — it is a global restraint of trade. It would prevent Dr. Dormani from developing real estate in Canada, in Portugal, in any market, for a decade. No Canadian court would enforce it.</w:t>
      </w:r>
    </w:p>
    <w:p>
      <w:pPr>
        <w:spacing w:after="200" w:line="360"/>
        <w:jc w:val="left"/>
      </w:pPr>
      <w:r>
        <w:rPr>
          <w:rFonts w:ascii="Georgia" w:cs="Georgia" w:eastAsia="Georgia" w:hAnsi="Georgia"/>
          <w:b w:val="false"/>
          <w:bCs w:val="false"/>
          <w:i w:val="false"/>
          <w:iCs w:val="false"/>
          <w:color w:val="3A4A5C"/>
          <w:sz w:val="22"/>
          <w:szCs w:val="22"/>
        </w:rPr>
        <w:t xml:space="preserve">Beyond enforceability, the drafting itself is revealing. A serious international partner with experienced legal counsel would know that a 10-year, 193-country non-compete is unenforceable in virtually every common law and civil law jurisdiction. The fact that it was included suggests either unfamiliarity with Canadian law or an intention to use the clause as leverage rather than as a binding restriction.</w:t>
      </w:r>
    </w:p>
    <w:p>
      <w:pPr>
        <w:spacing w:after="200" w:line="360"/>
        <w:jc w:val="left"/>
      </w:pPr>
      <w:r>
        <w:rPr>
          <w:rFonts w:ascii="Georgia" w:cs="Georgia" w:eastAsia="Georgia" w:hAnsi="Georgia"/>
          <w:b w:val="false"/>
          <w:bCs w:val="false"/>
          <w:i w:val="false"/>
          <w:iCs w:val="false"/>
          <w:color w:val="3A4A5C"/>
          <w:sz w:val="22"/>
          <w:szCs w:val="22"/>
        </w:rPr>
        <w:t xml:space="preserve">The recommended alternative — project-specific, NCR geography, JV duration plus two years — is the standard structure in Canadian real estate joint ventures. It protects the legitimate interest (preventing a partner from competing with the specific project) without overreaching.</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Non-compete limited to the La Cite Gatineau project, within the National Capital Region, for the duration of the joint venture plus two years. This is enforceable, proportionate, and consistent with Canadian commercial practice.</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3. Jurisdiction and Governing Law</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third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Confidentiality Agreement, Article 10; JV Agreement, Article 11</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Z.I. Pompey Industrie v. ECU-Line N.V.</w:t>
      </w:r>
      <w:r>
        <w:rPr>
          <w:rFonts w:ascii="Georgia" w:cs="Georgia" w:eastAsia="Georgia" w:hAnsi="Georgia"/>
          <w:color w:val="3A4A5C"/>
          <w:sz w:val="22"/>
          <w:szCs w:val="22"/>
        </w:rPr>
        <w:t xml:space="preserve">, 2003 SCC 27 — The Supreme Court confirmed that forum selection clauses are enforceable but must reflect a real and substantial connection to the chosen jurisdiction. Where the subject matter of the contract (here, real property in Quebec) is located entirely in Canada, Canadian courts have a strong presumptive claim to jurisdiction.</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Quebec Civil Code, arts. 3148–3149</w:t>
      </w:r>
      <w:r>
        <w:rPr>
          <w:rFonts w:ascii="Georgia" w:cs="Georgia" w:eastAsia="Georgia" w:hAnsi="Georgia"/>
          <w:color w:val="3A4A5C"/>
          <w:sz w:val="22"/>
          <w:szCs w:val="22"/>
        </w:rPr>
        <w:t xml:space="preserve"> — Quebec courts have jurisdiction where the dispute relates to an obligation to be performed in Quebec, or where property at issue is located in Quebec. An immovable property in Gatineau falls squarely within Quebec's exclusive jurisdictional reach under art. 3152.</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ADRIC (ADR Institute of Canada) Arbitration Rules</w:t>
      </w:r>
      <w:r>
        <w:rPr>
          <w:rFonts w:ascii="Georgia" w:cs="Georgia" w:eastAsia="Georgia" w:hAnsi="Georgia"/>
          <w:color w:val="3A4A5C"/>
          <w:sz w:val="22"/>
          <w:szCs w:val="22"/>
        </w:rPr>
        <w:t xml:space="preserve"> — The proposed alternative references ADRIC as the arbitration body, which is the standard Canadian institutional arbitration framework for commercial disputes. This provides a neutral, recognized mechanism without ceding jurisdiction to a foreign body.</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 OZH proposals do not specify a governing law or dispute resolution forum clearly, which in itself is a problem — ambiguity on jurisdiction in a cross-border deal is an invitation to costly litigation over where litigation should take place.</w:t>
      </w:r>
    </w:p>
    <w:p>
      <w:pPr>
        <w:spacing w:after="200" w:line="360"/>
        <w:jc w:val="left"/>
      </w:pPr>
      <w:r>
        <w:rPr>
          <w:rFonts w:ascii="Georgia" w:cs="Georgia" w:eastAsia="Georgia" w:hAnsi="Georgia"/>
          <w:b w:val="false"/>
          <w:bCs w:val="false"/>
          <w:i w:val="false"/>
          <w:iCs w:val="false"/>
          <w:color w:val="3A4A5C"/>
          <w:sz w:val="22"/>
          <w:szCs w:val="22"/>
        </w:rPr>
        <w:t xml:space="preserve">The property is in Gatineau, Quebec. The corporate entity is incorporated in Canada. The tenants are Canadian. The financing is Canadian. There is no legitimate basis for any jurisdiction other than Canada to govern this transaction. Agreeing to arbitration or litigation in a foreign jurisdiction would expose Dr. Dormani to enforcement risk, procedural disadvantage, and the possibility of judgments that are difficult or impossible to execute against Canadian assets.</w:t>
      </w:r>
    </w:p>
    <w:p>
      <w:pPr>
        <w:spacing w:after="200" w:line="360"/>
        <w:jc w:val="left"/>
      </w:pPr>
      <w:r>
        <w:rPr>
          <w:rFonts w:ascii="Georgia" w:cs="Georgia" w:eastAsia="Georgia" w:hAnsi="Georgia"/>
          <w:b w:val="false"/>
          <w:bCs w:val="false"/>
          <w:i w:val="false"/>
          <w:iCs w:val="false"/>
          <w:color w:val="3A4A5C"/>
          <w:sz w:val="22"/>
          <w:szCs w:val="22"/>
        </w:rPr>
        <w:t xml:space="preserve">This is stated as non-negotiable in the letter because it is. No competent Canadian legal counsel would advise a client to submit a dispute over Quebec real property to a foreign tribunal.</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All agreements governed by the laws of the Province of Quebec — the jurisdiction where the investment is located. All disputes resolved in Quebec courts or through ADRIC arbitration seated in Quebec. No foreign jurisdiction clauses.</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4. Share Pledge and Power of Attorney</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fourth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Proposal 1, Sections 5.2.2, 5.4.1–5.4.2</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Canada Business Corporations Act (CBCA), s. 122</w:t>
      </w:r>
      <w:r>
        <w:rPr>
          <w:rFonts w:ascii="Georgia" w:cs="Georgia" w:eastAsia="Georgia" w:hAnsi="Georgia"/>
          <w:color w:val="3A4A5C"/>
          <w:sz w:val="22"/>
          <w:szCs w:val="22"/>
        </w:rPr>
        <w:t xml:space="preserve"> — Directors and officers owe fiduciary duties to act honestly, in good faith, and in the best interests of the corporation. Granting an irrevocable power of attorney over corporate bank accounts and formation decisions to a foreign partner's designees would be a potential breach of fiduciary duty by the directors who authorized it.</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Peoples Department Stores Inc. (Trustee of) v. Wise</w:t>
      </w:r>
      <w:r>
        <w:rPr>
          <w:rFonts w:ascii="Georgia" w:cs="Georgia" w:eastAsia="Georgia" w:hAnsi="Georgia"/>
          <w:color w:val="3A4A5C"/>
          <w:sz w:val="22"/>
          <w:szCs w:val="22"/>
        </w:rPr>
        <w:t xml:space="preserve">, 2004 SCC 68 — The Supreme Court clarified the scope of directors' fiduciary duties, including the duty to consider the interests of creditors, employees, and other stakeholders. Surrendering corporate control through a power of attorney would be difficult to reconcile with these obligations.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Quebec Civil Code, arts. 2166–2174 (Mandate)</w:t>
      </w:r>
      <w:r>
        <w:rPr>
          <w:rFonts w:ascii="Georgia" w:cs="Georgia" w:eastAsia="Georgia" w:hAnsi="Georgia"/>
          <w:color w:val="3A4A5C"/>
          <w:sz w:val="22"/>
          <w:szCs w:val="22"/>
        </w:rPr>
        <w:t xml:space="preserve"> — A mandate (power of attorney) in Quebec is revocable by the mandator unless given in the interest of the mandatary or a third person, and even then, courts can intervene. However, the structural problem here is not revocability — it is that granting such a mandate would create a de facto transfer of control without the protections of a formal acquisition.</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 proposal asks Dr. Dormani to pledge his equity in 9266569 Canada Inc. as security for what OZH characterizes as an investment but structures as a loan. It then asks him to grant power of attorney to OZH-designated individuals over the corporation's bank accounts and over the formation of new corporate entities related to the project.</w:t>
      </w:r>
    </w:p>
    <w:p>
      <w:pPr>
        <w:spacing w:after="200" w:line="360"/>
        <w:jc w:val="left"/>
      </w:pPr>
      <w:r>
        <w:rPr>
          <w:rFonts w:ascii="Georgia" w:cs="Georgia" w:eastAsia="Georgia" w:hAnsi="Georgia"/>
          <w:b w:val="false"/>
          <w:bCs w:val="false"/>
          <w:i w:val="false"/>
          <w:iCs w:val="false"/>
          <w:color w:val="3A4A5C"/>
          <w:sz w:val="22"/>
          <w:szCs w:val="22"/>
        </w:rPr>
        <w:t xml:space="preserve">Taken together, these provisions would give OZH effective control of the project without acquiring any ownership. Dr. Dormani would retain the title of President but would have signed away the ability to manage the company's finances or corporate structure. If the loan terms were not met — on OZH's timeline and terms — the share pledge would allow OZH to seize the equity.</w:t>
      </w:r>
    </w:p>
    <w:p>
      <w:pPr>
        <w:spacing w:after="200" w:line="360"/>
        <w:jc w:val="left"/>
      </w:pPr>
      <w:r>
        <w:rPr>
          <w:rFonts w:ascii="Georgia" w:cs="Georgia" w:eastAsia="Georgia" w:hAnsi="Georgia"/>
          <w:b w:val="false"/>
          <w:bCs w:val="false"/>
          <w:i w:val="false"/>
          <w:iCs w:val="false"/>
          <w:color w:val="3A4A5C"/>
          <w:sz w:val="22"/>
          <w:szCs w:val="22"/>
        </w:rPr>
        <w:t xml:space="preserve">This is not a partnership structure. It is a control mechanism dressed up as a joint venture. No Canadian advisor would recommend that a client sign these provisions, and no Canadian court would look favourably on a structure designed to extract control without paying for it.</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Complete removal of all share pledge provisions and all power of attorney clauses. If OZH wants equity participation, the path is a share acquisition at fair market value, not a loan structure with security that transfers control.</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5. EUR-Denominated Financing</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fifth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Proposal 1, Section II</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CMHC Select Program</w:t>
      </w:r>
      <w:r>
        <w:rPr>
          <w:rFonts w:ascii="Georgia" w:cs="Georgia" w:eastAsia="Georgia" w:hAnsi="Georgia"/>
          <w:color w:val="3A4A5C"/>
          <w:sz w:val="22"/>
          <w:szCs w:val="22"/>
        </w:rPr>
        <w:t xml:space="preserve"> — CMHC Select offers mortgage loan insurance for multi-unit residential properties with rates approximately 1% below conventional market rates and amortization periods of 45–50 years. La Cite Phase I already operates under a CMHC loan. Phase II qualifies for the same program. This is the most favourable financing instrument available for this project.</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Currency exposure — commercial risk</w:t>
      </w:r>
      <w:r>
        <w:rPr>
          <w:rFonts w:ascii="Georgia" w:cs="Georgia" w:eastAsia="Georgia" w:hAnsi="Georgia"/>
          <w:color w:val="3A4A5C"/>
          <w:sz w:val="22"/>
          <w:szCs w:val="22"/>
        </w:rPr>
        <w:t xml:space="preserve"> — All project revenue (rental income) is denominated in Canadian dollars. Servicing debt in euros would create an unhedged foreign exchange exposure. Over a 25–45 year loan term, CAD/EUR fluctuations could add tens of millions in cost or savings — an uncontrollable variable that no prudent developer would accept when a superior Canadian-dollar alternative exists.</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There is no commercial reason to finance a Canadian residential project in euros. The only scenario in which EUR-denominated debt makes sense is if the lender wants the borrower exposed to currency risk — either as additional leverage or as a revenue stream from exchange rate differentials.</w:t>
      </w:r>
    </w:p>
    <w:p>
      <w:pPr>
        <w:spacing w:after="200" w:line="360"/>
        <w:jc w:val="left"/>
      </w:pPr>
      <w:r>
        <w:rPr>
          <w:rFonts w:ascii="Georgia" w:cs="Georgia" w:eastAsia="Georgia" w:hAnsi="Georgia"/>
          <w:b w:val="false"/>
          <w:bCs w:val="false"/>
          <w:i w:val="false"/>
          <w:iCs w:val="false"/>
          <w:color w:val="3A4A5C"/>
          <w:sz w:val="22"/>
          <w:szCs w:val="22"/>
        </w:rPr>
        <w:t xml:space="preserve">CMHC Select financing is available, proven (Phase I already uses CMHC), and offers better terms than anything OZH has proposed. The interest rate is lower, the amortization is longer, and the currency matches the revenue. There is no version of this negotiation in which EUR debt is preferable to CMHC financing in Canadian dollars.</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All project financing in Canadian dollars. CMHC Select as the primary debt instrument for Phase II. No foreign-currency obligations.</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6. Consultant Fee</w:t>
      </w:r>
    </w:p>
    <w:p>
      <w:pPr>
        <w:spacing w:after="280" w:line="360"/>
      </w:pPr>
      <w:r>
        <w:rPr>
          <w:rFonts w:ascii="Georgia" w:cs="Georgia" w:eastAsia="Georgia" w:hAnsi="Georgia"/>
          <w:b/>
          <w:bCs/>
          <w:color w:val="0C1A2E"/>
          <w:sz w:val="22"/>
          <w:szCs w:val="22"/>
        </w:rPr>
        <w:t xml:space="preserve">Letter Reference: </w:t>
      </w:r>
      <w:r>
        <w:rPr>
          <w:rFonts w:ascii="Georgia" w:cs="Georgia" w:eastAsia="Georgia" w:hAnsi="Georgia"/>
          <w:color w:val="3A4A5C"/>
          <w:sz w:val="22"/>
          <w:szCs w:val="22"/>
        </w:rPr>
        <w:t xml:space="preserve">"What Must Change" — sixth item in the response letter</w:t>
      </w:r>
    </w:p>
    <w:p>
      <w:pPr>
        <w:spacing w:after="280" w:line="360"/>
      </w:pPr>
      <w:r>
        <w:rPr>
          <w:rFonts w:ascii="Georgia" w:cs="Georgia" w:eastAsia="Georgia" w:hAnsi="Georgia"/>
          <w:b/>
          <w:bCs/>
          <w:color w:val="0C1A2E"/>
          <w:sz w:val="22"/>
          <w:szCs w:val="22"/>
        </w:rPr>
        <w:t xml:space="preserve">Provisions at Issue: </w:t>
      </w:r>
      <w:r>
        <w:rPr>
          <w:rFonts w:ascii="Georgia" w:cs="Georgia" w:eastAsia="Georgia" w:hAnsi="Georgia"/>
          <w:color w:val="3A4A5C"/>
          <w:sz w:val="22"/>
          <w:szCs w:val="22"/>
        </w:rPr>
        <w:t xml:space="preserve">JV Agreement, Article 5</w:t>
      </w:r>
    </w:p>
    <w:p>
      <w:pPr>
        <w:pBdr>
          <w:bottom w:val="single" w:color="C9A84C" w:sz="1" w:space="6"/>
        </w:pBdr>
        <w:spacing w:after="240" w:before="400"/>
      </w:pPr>
      <w:r>
        <w:rPr>
          <w:rFonts w:ascii="Georgia" w:cs="Georgia" w:eastAsia="Georgia" w:hAnsi="Georgia"/>
          <w:b/>
          <w:bCs/>
          <w:color w:val="0C1A2E"/>
          <w:sz w:val="22"/>
          <w:szCs w:val="22"/>
        </w:rPr>
        <w:t xml:space="preserve">Legal and Regulatory Basis</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Fiduciary obligations in joint ventures</w:t>
      </w:r>
      <w:r>
        <w:rPr>
          <w:rFonts w:ascii="Georgia" w:cs="Georgia" w:eastAsia="Georgia" w:hAnsi="Georgia"/>
          <w:color w:val="3A4A5C"/>
          <w:sz w:val="22"/>
          <w:szCs w:val="22"/>
        </w:rPr>
        <w:t xml:space="preserve"> — Partners in a joint venture owe each other duties of good faith and full disclosure. An undisclosed fee payable to unnamed third parties is a breach of these obligations. See </w:t>
      </w:r>
      <w:r>
        <w:rPr>
          <w:rFonts w:ascii="Georgia" w:cs="Georgia" w:eastAsia="Georgia" w:hAnsi="Georgia"/>
          <w:i/>
          <w:iCs/>
          <w:color w:val="3A4A5C"/>
          <w:sz w:val="22"/>
          <w:szCs w:val="22"/>
        </w:rPr>
        <w:t xml:space="preserve">Pre-Cam Exploration &amp; Development Ltd. v. McTavish</w:t>
      </w:r>
      <w:r>
        <w:rPr>
          <w:rFonts w:ascii="Georgia" w:cs="Georgia" w:eastAsia="Georgia" w:hAnsi="Georgia"/>
          <w:color w:val="3A4A5C"/>
          <w:sz w:val="22"/>
          <w:szCs w:val="22"/>
        </w:rPr>
        <w:t xml:space="preserve">, [1966] SCR 551, where the Supreme Court held that a joint venturer who fails to disclose a material interest commits a breach of fiduciary duty.</w:t>
      </w:r>
    </w:p>
    <w:p>
      <w:pPr>
        <w:spacing w:after="360" w:line="360"/>
        <w:ind w:left="360"/>
      </w:pPr>
      <w:r>
        <w:rPr>
          <w:rFonts w:ascii="Georgia" w:cs="Georgia" w:eastAsia="Georgia" w:hAnsi="Georgia"/>
          <w:color w:val="3A4A5C"/>
          <w:sz w:val="22"/>
          <w:szCs w:val="22"/>
        </w:rPr>
        <w:t xml:space="preserve">•  </w:t>
      </w:r>
      <w:r>
        <w:rPr>
          <w:rFonts w:ascii="Georgia" w:cs="Georgia" w:eastAsia="Georgia" w:hAnsi="Georgia"/>
          <w:i/>
          <w:iCs/>
          <w:color w:val="3A4A5C"/>
          <w:sz w:val="22"/>
          <w:szCs w:val="22"/>
        </w:rPr>
        <w:t xml:space="preserve">Income Tax Act (Canada), s. 67</w:t>
      </w:r>
      <w:r>
        <w:rPr>
          <w:rFonts w:ascii="Georgia" w:cs="Georgia" w:eastAsia="Georgia" w:hAnsi="Georgia"/>
          <w:color w:val="3A4A5C"/>
          <w:sz w:val="22"/>
          <w:szCs w:val="22"/>
        </w:rPr>
        <w:t xml:space="preserve"> — Business expenses must be "reasonable in the circumstances" to be deductible. A 1% fee on a $131 million project ($1.31 million) payable to unnamed consultants for unspecified services would face serious challenge on audit. CRA would require documentation of who was paid, what they did, and why the amount was reasonable.</w:t>
      </w:r>
    </w:p>
    <w:p>
      <w:pPr>
        <w:pBdr>
          <w:bottom w:val="single" w:color="C9A84C" w:sz="1" w:space="6"/>
        </w:pBdr>
        <w:spacing w:after="240" w:before="400"/>
      </w:pPr>
      <w:r>
        <w:rPr>
          <w:rFonts w:ascii="Georgia" w:cs="Georgia" w:eastAsia="Georgia" w:hAnsi="Georgia"/>
          <w:b/>
          <w:bCs/>
          <w:color w:val="0C1A2E"/>
          <w:sz w:val="22"/>
          <w:szCs w:val="22"/>
        </w:rPr>
        <w:t xml:space="preserve">Reasoning</w:t>
      </w:r>
    </w:p>
    <w:p>
      <w:pPr>
        <w:spacing w:after="200" w:line="360"/>
        <w:jc w:val="left"/>
      </w:pPr>
      <w:r>
        <w:rPr>
          <w:rFonts w:ascii="Georgia" w:cs="Georgia" w:eastAsia="Georgia" w:hAnsi="Georgia"/>
          <w:b w:val="false"/>
          <w:bCs w:val="false"/>
          <w:i w:val="false"/>
          <w:iCs w:val="false"/>
          <w:color w:val="3A4A5C"/>
          <w:sz w:val="22"/>
          <w:szCs w:val="22"/>
        </w:rPr>
        <w:t xml:space="preserve">The JV Agreement includes a 1% fee payable to unnamed consultants. No services are described. No recipients are identified. On a $131 million construction budget, this is approximately $1.31 million directed to parties whose identity and role are not disclosed to the Canadian partner.</w:t>
      </w:r>
    </w:p>
    <w:p>
      <w:pPr>
        <w:spacing w:after="200" w:line="360"/>
        <w:jc w:val="left"/>
      </w:pPr>
      <w:r>
        <w:rPr>
          <w:rFonts w:ascii="Georgia" w:cs="Georgia" w:eastAsia="Georgia" w:hAnsi="Georgia"/>
          <w:b w:val="false"/>
          <w:bCs w:val="false"/>
          <w:i w:val="false"/>
          <w:iCs w:val="false"/>
          <w:color w:val="3A4A5C"/>
          <w:sz w:val="22"/>
          <w:szCs w:val="22"/>
        </w:rPr>
        <w:t xml:space="preserve">This is not acceptable in any Canadian commercial transaction. Joint venture partners are entitled to know where every dollar goes. If there are legitimate consulting services being provided — legal, financial, advisory — those services should be named, the providers identified, and the fees justified against market rates. If the fee is a commission or finder's fee, it should be disclosed as such.</w:t>
      </w:r>
    </w:p>
    <w:p>
      <w:pPr>
        <w:spacing w:after="200" w:line="360"/>
        <w:jc w:val="left"/>
      </w:pPr>
      <w:r>
        <w:rPr>
          <w:rFonts w:ascii="Georgia" w:cs="Georgia" w:eastAsia="Georgia" w:hAnsi="Georgia"/>
          <w:b w:val="false"/>
          <w:bCs w:val="false"/>
          <w:i w:val="false"/>
          <w:iCs w:val="false"/>
          <w:color w:val="3A4A5C"/>
          <w:sz w:val="22"/>
          <w:szCs w:val="22"/>
        </w:rPr>
        <w:t xml:space="preserve">The letter takes a firm but open position: disclose everything, reduce the amount, tie it to closing, and share it as a joint venture expense. If OZH cannot or will not explain who gets this money and why, that tells us something important.</w:t>
      </w:r>
    </w:p>
    <w:p>
      <w:pPr>
        <w:pBdr>
          <w:bottom w:val="single" w:color="C9A84C" w:sz="1" w:space="6"/>
        </w:pBdr>
        <w:spacing w:after="240" w:before="400"/>
      </w:pPr>
      <w:r>
        <w:rPr>
          <w:rFonts w:ascii="Georgia" w:cs="Georgia" w:eastAsia="Georgia" w:hAnsi="Georgia"/>
          <w:b/>
          <w:bCs/>
          <w:color w:val="0C1A2E"/>
          <w:sz w:val="22"/>
          <w:szCs w:val="22"/>
        </w:rPr>
        <w:t xml:space="preserve">Recommended Position</w:t>
      </w:r>
    </w:p>
    <w:p>
      <w:pPr>
        <w:spacing w:after="280" w:line="360"/>
        <w:jc w:val="left"/>
      </w:pPr>
      <w:r>
        <w:rPr>
          <w:rFonts w:ascii="Georgia" w:cs="Georgia" w:eastAsia="Georgia" w:hAnsi="Georgia"/>
          <w:b w:val="false"/>
          <w:bCs w:val="false"/>
          <w:i w:val="false"/>
          <w:iCs w:val="false"/>
          <w:color w:val="3A4A5C"/>
          <w:sz w:val="22"/>
          <w:szCs w:val="22"/>
        </w:rPr>
        <w:t xml:space="preserve">Full disclosure of recipients, services, and fee basis. Reduction from 1% to a market-rate amount. Payment contingent on closing. Treated as a shared JV expense, not a unilateral charge.</w:t>
      </w:r>
    </w:p>
    <w:p>
      <w:pPr>
        <w:pBdr>
          <w:bottom w:val="single" w:color="0C1A2E" w:sz="2" w:space="1"/>
        </w:pBdr>
        <w:spacing w:after="480" w:before="200"/>
      </w:pPr>
    </w:p>
    <w:p>
      <w:r>
        <w:br w:type="page"/>
      </w:r>
    </w:p>
    <w:p>
      <w:pPr>
        <w:spacing w:after="320" w:before="600"/>
      </w:pPr>
      <w:r>
        <w:rPr>
          <w:rFonts w:ascii="Georgia" w:cs="Georgia" w:eastAsia="Georgia" w:hAnsi="Georgia"/>
          <w:b/>
          <w:bCs/>
          <w:color w:val="0C1A2E"/>
          <w:sz w:val="28"/>
          <w:szCs w:val="28"/>
        </w:rPr>
        <w:t xml:space="preserve">7. Rationale for the Counter-Proposal Structure</w:t>
      </w:r>
    </w:p>
    <w:p>
      <w:pPr>
        <w:pBdr>
          <w:bottom w:val="single" w:color="C9A84C" w:sz="1" w:space="1"/>
        </w:pBdr>
        <w:spacing w:after="200"/>
      </w:pPr>
    </w:p>
    <w:p>
      <w:pPr>
        <w:spacing w:after="320" w:before="480"/>
      </w:pPr>
      <w:r>
        <w:rPr>
          <w:rFonts w:ascii="Georgia" w:cs="Georgia" w:eastAsia="Georgia" w:hAnsi="Georgia"/>
          <w:b/>
          <w:bCs/>
          <w:color w:val="0C1A2E"/>
          <w:sz w:val="24"/>
          <w:szCs w:val="24"/>
        </w:rPr>
        <w:t xml:space="preserve">Phase I Share Acquisition</w:t>
      </w:r>
    </w:p>
    <w:p>
      <w:pPr>
        <w:spacing w:after="280" w:line="360"/>
        <w:jc w:val="left"/>
      </w:pPr>
      <w:r>
        <w:rPr>
          <w:rFonts w:ascii="Georgia" w:cs="Georgia" w:eastAsia="Georgia" w:hAnsi="Georgia"/>
          <w:b w:val="false"/>
          <w:bCs w:val="false"/>
          <w:i w:val="false"/>
          <w:iCs w:val="false"/>
          <w:color w:val="3A4A5C"/>
          <w:sz w:val="22"/>
          <w:szCs w:val="22"/>
        </w:rPr>
        <w:t xml:space="preserve">Phase I was not part of the original application to OZH. As we reviewed their proposals internally, it became clear that the physical connection between the two buildings makes Phase I a relevant consideration that strengthens the negotiating position and the opportunity for both parties.</w:t>
      </w:r>
    </w:p>
    <w:p>
      <w:pPr>
        <w:spacing w:after="280" w:line="360"/>
        <w:jc w:val="left"/>
      </w:pPr>
      <w:r>
        <w:rPr>
          <w:rFonts w:ascii="Georgia" w:cs="Georgia" w:eastAsia="Georgia" w:hAnsi="Georgia"/>
          <w:b w:val="false"/>
          <w:bCs w:val="false"/>
          <w:i w:val="false"/>
          <w:iCs w:val="false"/>
          <w:color w:val="3A4A5C"/>
          <w:sz w:val="22"/>
          <w:szCs w:val="22"/>
        </w:rPr>
        <w:t xml:space="preserve">Phase I is a 205-unit, 19-floor tower, 97% occupied, with an $86 million CMHC loan in good standing. It produces stable, predictable cash flow. The two phases were designed with underground tunnel connections — vehicle and pedestrian access between the buildings, allowing residents to move between them without going outside during Canadian winters. That physical link means any partner in Phase II has a practical relationship with Phase I whether it is formalized or not. Formalizing it through a share acquisition turns this from a complication into an advantage for both sides.</w:t>
      </w:r>
    </w:p>
    <w:p>
      <w:pPr>
        <w:spacing w:after="280" w:line="360"/>
        <w:jc w:val="left"/>
      </w:pPr>
      <w:r>
        <w:rPr>
          <w:rFonts w:ascii="Georgia" w:cs="Georgia" w:eastAsia="Georgia" w:hAnsi="Georgia"/>
          <w:b w:val="false"/>
          <w:bCs w:val="false"/>
          <w:i w:val="false"/>
          <w:iCs w:val="false"/>
          <w:color w:val="3A4A5C"/>
          <w:sz w:val="22"/>
          <w:szCs w:val="22"/>
        </w:rPr>
        <w:t xml:space="preserve">Phase II, by contrast, is a construction project with all the associated risk. Any serious investor would rather have a stake in the performing asset alongside the development opportunity than the construction bet alone.</w:t>
      </w:r>
    </w:p>
    <w:p>
      <w:pPr>
        <w:spacing w:after="280" w:line="360"/>
        <w:jc w:val="left"/>
      </w:pPr>
      <w:r>
        <w:rPr>
          <w:rFonts w:ascii="Georgia" w:cs="Georgia" w:eastAsia="Georgia" w:hAnsi="Georgia"/>
          <w:b w:val="false"/>
          <w:bCs w:val="false"/>
          <w:i w:val="false"/>
          <w:iCs w:val="false"/>
          <w:color w:val="3A4A5C"/>
          <w:sz w:val="22"/>
          <w:szCs w:val="22"/>
        </w:rPr>
        <w:t xml:space="preserve">By offering OZH the ability to acquire 50% of Phase I at a $145 million valuation, Dr. Dormani accomplishes several things at once. He gives OZH immediate cash flow from a proven asset. He creates a shared interest in the success of Phase II, since the two buildings are physically connected. He establishes a governance precedent before the construction phase begins. And he sets the terms: this is a share transfer at a valuation he controls, not a distressed negotiation driven by OZH's proposed loan structure.</w:t>
      </w:r>
    </w:p>
    <w:p>
      <w:pPr>
        <w:spacing w:after="280" w:line="360"/>
        <w:jc w:val="left"/>
      </w:pPr>
      <w:r>
        <w:rPr>
          <w:rFonts w:ascii="Georgia" w:cs="Georgia" w:eastAsia="Georgia" w:hAnsi="Georgia"/>
          <w:b w:val="false"/>
          <w:bCs w:val="false"/>
          <w:i w:val="false"/>
          <w:iCs w:val="false"/>
          <w:color w:val="3A4A5C"/>
          <w:sz w:val="22"/>
          <w:szCs w:val="22"/>
        </w:rPr>
        <w:t xml:space="preserve">The $145 million valuation is based on the property's current income, the CMHC loan balance, and comparable transactions in the NCR market. It is a starting point for negotiation, not a ceiling.</w:t>
      </w:r>
    </w:p>
    <w:p>
      <w:pPr>
        <w:spacing w:after="320" w:before="480"/>
      </w:pPr>
      <w:r>
        <w:rPr>
          <w:rFonts w:ascii="Georgia" w:cs="Georgia" w:eastAsia="Georgia" w:hAnsi="Georgia"/>
          <w:b/>
          <w:bCs/>
          <w:color w:val="0C1A2E"/>
          <w:sz w:val="24"/>
          <w:szCs w:val="24"/>
        </w:rPr>
        <w:t xml:space="preserve">Tax Advantages of a Share Transfer vs. Asset Sale</w:t>
      </w:r>
    </w:p>
    <w:p>
      <w:pPr>
        <w:spacing w:after="280" w:line="360"/>
        <w:jc w:val="left"/>
      </w:pPr>
      <w:r>
        <w:rPr>
          <w:rFonts w:ascii="Georgia" w:cs="Georgia" w:eastAsia="Georgia" w:hAnsi="Georgia"/>
          <w:b w:val="false"/>
          <w:bCs w:val="false"/>
          <w:i w:val="false"/>
          <w:iCs w:val="false"/>
          <w:color w:val="3A4A5C"/>
          <w:sz w:val="22"/>
          <w:szCs w:val="22"/>
        </w:rPr>
        <w:t xml:space="preserve">The share transfer structure is not just operationally cleaner — it saves both parties tens of millions of dollars in transaction costs that would be unavoidable in a direct property sale. The property itself never changes hands. It is the ownership of the corporation that is transferred. This distinction has major tax consequences under Canadian law.</w:t>
      </w:r>
    </w:p>
    <w:p>
      <w:pPr>
        <w:spacing w:after="240" w:before="400"/>
      </w:pPr>
      <w:r>
        <w:rPr>
          <w:rFonts w:ascii="Georgia" w:cs="Georgia" w:eastAsia="Georgia" w:hAnsi="Georgia"/>
          <w:b/>
          <w:bCs/>
          <w:color w:val="0C1A2E"/>
          <w:sz w:val="22"/>
          <w:szCs w:val="22"/>
        </w:rPr>
        <w:t xml:space="preserve">Quebec Municipal Transfer Tax (Droits de Mutation)</w:t>
      </w:r>
    </w:p>
    <w:p>
      <w:pPr>
        <w:spacing w:after="280" w:line="360"/>
        <w:jc w:val="left"/>
      </w:pPr>
      <w:r>
        <w:rPr>
          <w:rFonts w:ascii="Georgia" w:cs="Georgia" w:eastAsia="Georgia" w:hAnsi="Georgia"/>
          <w:b w:val="false"/>
          <w:bCs w:val="false"/>
          <w:i w:val="false"/>
          <w:iCs w:val="false"/>
          <w:color w:val="3A4A5C"/>
          <w:sz w:val="22"/>
          <w:szCs w:val="22"/>
        </w:rPr>
        <w:t xml:space="preserve">Under Quebec's Act Respecting Duties on Transfers of Immovables (R.S.Q., c. D-15.1), any transfer of an immovable triggers municipal transfer tax (commonly called the "taxe de bienvenue"). The progressive rate structure reaches 3% on amounts exceeding $500,000. On a property valued at $145 million, the transfer tax alone would exceed $4 million. A share transfer does not trigger this tax because the immovable does not change hands — the corporation that owns the property remains the same legal entity. Only the shareholders change.</w:t>
      </w:r>
    </w:p>
    <w:p>
      <w:pPr>
        <w:spacing w:after="240" w:before="400"/>
      </w:pPr>
      <w:r>
        <w:rPr>
          <w:rFonts w:ascii="Georgia" w:cs="Georgia" w:eastAsia="Georgia" w:hAnsi="Georgia"/>
          <w:b/>
          <w:bCs/>
          <w:color w:val="0C1A2E"/>
          <w:sz w:val="22"/>
          <w:szCs w:val="22"/>
        </w:rPr>
        <w:t xml:space="preserve">GST and QST on Sale of Real Property</w:t>
      </w:r>
    </w:p>
    <w:p>
      <w:pPr>
        <w:spacing w:after="280" w:line="360"/>
        <w:jc w:val="left"/>
      </w:pPr>
      <w:r>
        <w:rPr>
          <w:rFonts w:ascii="Georgia" w:cs="Georgia" w:eastAsia="Georgia" w:hAnsi="Georgia"/>
          <w:b w:val="false"/>
          <w:bCs w:val="false"/>
          <w:i w:val="false"/>
          <w:iCs w:val="false"/>
          <w:color w:val="3A4A5C"/>
          <w:sz w:val="22"/>
          <w:szCs w:val="22"/>
        </w:rPr>
        <w:t xml:space="preserve">A direct sale of real property in Quebec triggers the Goods and Services Tax (5%) and Quebec Sales Tax (9.975%) — a combined rate of approximately 14.975%. On a $145 million transaction, this represents approximately $21.7 million in potential sales tax liability. While input tax credits and exemptions may reduce this figure depending on the buyer's status and use of the property, the exposure is substantial. A share transfer avoids this entirely. The sale of shares of a corporation is an exempt financial supply under the Excise Tax Act (Canada), s. 123(1), and is not subject to GST or QST.</w:t>
      </w:r>
    </w:p>
    <w:p>
      <w:pPr>
        <w:spacing w:after="240" w:before="400"/>
      </w:pPr>
      <w:r>
        <w:rPr>
          <w:rFonts w:ascii="Georgia" w:cs="Georgia" w:eastAsia="Georgia" w:hAnsi="Georgia"/>
          <w:b/>
          <w:bCs/>
          <w:color w:val="0C1A2E"/>
          <w:sz w:val="22"/>
          <w:szCs w:val="22"/>
        </w:rPr>
        <w:t xml:space="preserve">CMHC Mortgage Preservation</w:t>
      </w:r>
    </w:p>
    <w:p>
      <w:pPr>
        <w:spacing w:after="280" w:line="360"/>
        <w:jc w:val="left"/>
      </w:pPr>
      <w:r>
        <w:rPr>
          <w:rFonts w:ascii="Georgia" w:cs="Georgia" w:eastAsia="Georgia" w:hAnsi="Georgia"/>
          <w:b w:val="false"/>
          <w:bCs w:val="false"/>
          <w:i w:val="false"/>
          <w:iCs w:val="false"/>
          <w:color w:val="3A4A5C"/>
          <w:sz w:val="22"/>
          <w:szCs w:val="22"/>
        </w:rPr>
        <w:t xml:space="preserve">The existing $86 million CMHC loan on Phase I is in good standing. In an asset sale, this mortgage would need to be discharged, potentially triggering prepayment penalties, and the buyer would need to arrange new financing — at current rates, with new underwriting, and without the benefit of the existing CMHC relationship. In a share transfer, the mortgage stays in place. The corporation continues as borrower. CMHC's relationship with the project is uninterrupted. This preserves a financing instrument that carries terms no new borrower could replicate today.</w:t>
      </w:r>
    </w:p>
    <w:p>
      <w:pPr>
        <w:spacing w:after="240" w:before="400"/>
      </w:pPr>
      <w:r>
        <w:rPr>
          <w:rFonts w:ascii="Georgia" w:cs="Georgia" w:eastAsia="Georgia" w:hAnsi="Georgia"/>
          <w:b/>
          <w:bCs/>
          <w:color w:val="0C1A2E"/>
          <w:sz w:val="22"/>
          <w:szCs w:val="22"/>
        </w:rPr>
        <w:t xml:space="preserve">Contracts and Tenant Agreements</w:t>
      </w:r>
    </w:p>
    <w:p>
      <w:pPr>
        <w:spacing w:after="280" w:line="360"/>
        <w:jc w:val="left"/>
      </w:pPr>
      <w:r>
        <w:rPr>
          <w:rFonts w:ascii="Georgia" w:cs="Georgia" w:eastAsia="Georgia" w:hAnsi="Georgia"/>
          <w:b w:val="false"/>
          <w:bCs w:val="false"/>
          <w:i w:val="false"/>
          <w:iCs w:val="false"/>
          <w:color w:val="3A4A5C"/>
          <w:sz w:val="22"/>
          <w:szCs w:val="22"/>
        </w:rPr>
        <w:t xml:space="preserve">All tenant leases, service contracts, insurance policies, and vendor agreements are with the corporation, not with Dr. Dormani personally. A share transfer leaves every contract undisturbed. An asset sale would require assignment or renegotiation of each contract — a process that could take months, create uncertainty for tenants, and trigger termination clauses in agreements that contain change-of-control or assignment restrictions.</w:t>
      </w:r>
    </w:p>
    <w:p>
      <w:pPr>
        <w:spacing w:after="240" w:before="400"/>
      </w:pPr>
      <w:r>
        <w:rPr>
          <w:rFonts w:ascii="Georgia" w:cs="Georgia" w:eastAsia="Georgia" w:hAnsi="Georgia"/>
          <w:b/>
          <w:bCs/>
          <w:color w:val="0C1A2E"/>
          <w:sz w:val="22"/>
          <w:szCs w:val="22"/>
        </w:rPr>
        <w:t xml:space="preserve">Summary of Estimated Savings</w:t>
      </w:r>
    </w:p>
    <w:p>
      <w:pPr>
        <w:spacing w:after="280" w:line="360"/>
        <w:jc w:val="left"/>
      </w:pPr>
      <w:r>
        <w:rPr>
          <w:rFonts w:ascii="Georgia" w:cs="Georgia" w:eastAsia="Georgia" w:hAnsi="Georgia"/>
          <w:b w:val="false"/>
          <w:bCs w:val="false"/>
          <w:i w:val="false"/>
          <w:iCs w:val="false"/>
          <w:color w:val="3A4A5C"/>
          <w:sz w:val="22"/>
          <w:szCs w:val="22"/>
        </w:rPr>
        <w:t xml:space="preserve">Municipal transfer tax avoided: $4M+. GST/QST avoided: up to $21.7M. Mortgage prepayment and refinancing costs avoided: several million (depending on penalty terms and current rates). Legal and administrative costs of contract reassignment avoided: significant but variable. Total estimated savings from share transfer vs. asset sale: $25–30 million in direct transaction costs. This is not a marginal advantage. It is the difference between a viable deal and a punitive one.</w:t>
      </w:r>
    </w:p>
    <w:p>
      <w:pPr>
        <w:spacing w:after="320" w:before="480"/>
      </w:pPr>
      <w:r>
        <w:rPr>
          <w:rFonts w:ascii="Georgia" w:cs="Georgia" w:eastAsia="Georgia" w:hAnsi="Georgia"/>
          <w:b/>
          <w:bCs/>
          <w:color w:val="0C1A2E"/>
          <w:sz w:val="24"/>
          <w:szCs w:val="24"/>
        </w:rPr>
        <w:t xml:space="preserve">CMHC Select for Phase II</w:t>
      </w:r>
    </w:p>
    <w:p>
      <w:pPr>
        <w:spacing w:after="280" w:line="360"/>
        <w:jc w:val="left"/>
      </w:pPr>
      <w:r>
        <w:rPr>
          <w:rFonts w:ascii="Georgia" w:cs="Georgia" w:eastAsia="Georgia" w:hAnsi="Georgia"/>
          <w:b w:val="false"/>
          <w:bCs w:val="false"/>
          <w:i w:val="false"/>
          <w:iCs w:val="false"/>
          <w:color w:val="3A4A5C"/>
          <w:sz w:val="22"/>
          <w:szCs w:val="22"/>
        </w:rPr>
        <w:t xml:space="preserve">CMHC Select is the optimal financing instrument for Phase II. It offers rates approximately 1% below conventional market, amortization periods of 45–50 years, and an established relationship with the borrower (Phase I is already CMHC-financed). There is no scenario in which OZH's proposed EUR-denominated financing is more advantageous than CMHC Select.</w:t>
      </w:r>
    </w:p>
    <w:p>
      <w:pPr>
        <w:spacing w:after="280" w:line="360"/>
        <w:jc w:val="left"/>
      </w:pPr>
      <w:r>
        <w:rPr>
          <w:rFonts w:ascii="Georgia" w:cs="Georgia" w:eastAsia="Georgia" w:hAnsi="Georgia"/>
          <w:b w:val="false"/>
          <w:bCs w:val="false"/>
          <w:i w:val="false"/>
          <w:iCs w:val="false"/>
          <w:color w:val="3A4A5C"/>
          <w:sz w:val="22"/>
          <w:szCs w:val="22"/>
        </w:rPr>
        <w:t xml:space="preserve">By insisting on CMHC, the letter removes foreign currency risk, eliminates dependency on OZH for financing, and anchors the project within the Canadian institutional framework. It also signals to OZH that Dr. Dormani does not need their money for the construction — he needs a partner, not a lender.</w:t>
      </w:r>
    </w:p>
    <w:p>
      <w:pPr>
        <w:spacing w:after="320" w:before="480"/>
      </w:pPr>
      <w:r>
        <w:rPr>
          <w:rFonts w:ascii="Georgia" w:cs="Georgia" w:eastAsia="Georgia" w:hAnsi="Georgia"/>
          <w:b/>
          <w:bCs/>
          <w:color w:val="0C1A2E"/>
          <w:sz w:val="24"/>
          <w:szCs w:val="24"/>
        </w:rPr>
        <w:t xml:space="preserve">Canadian Governance</w:t>
      </w:r>
    </w:p>
    <w:p>
      <w:pPr>
        <w:spacing w:after="280" w:line="360"/>
        <w:jc w:val="left"/>
      </w:pPr>
      <w:r>
        <w:rPr>
          <w:rFonts w:ascii="Georgia" w:cs="Georgia" w:eastAsia="Georgia" w:hAnsi="Georgia"/>
          <w:b w:val="false"/>
          <w:bCs w:val="false"/>
          <w:i w:val="false"/>
          <w:iCs w:val="false"/>
          <w:color w:val="3A4A5C"/>
          <w:sz w:val="22"/>
          <w:szCs w:val="22"/>
        </w:rPr>
        <w:t xml:space="preserve">Equal board representation with mutual veto rights is standard in 50/50 Canadian joint ventures. The insistence on Canadian legal counsel drafting the JV agreement is deliberate — it ensures the agreement conforms to Canadian corporate law, Canadian fiduciary standards, and Canadian regulatory requirements from the outset, rather than requiring extensive amendment to a foreign-drafted document.</w:t>
      </w:r>
    </w:p>
    <w:p>
      <w:pPr>
        <w:spacing w:after="320" w:before="480"/>
      </w:pPr>
      <w:r>
        <w:rPr>
          <w:rFonts w:ascii="Georgia" w:cs="Georgia" w:eastAsia="Georgia" w:hAnsi="Georgia"/>
          <w:b/>
          <w:bCs/>
          <w:color w:val="0C1A2E"/>
          <w:sz w:val="24"/>
          <w:szCs w:val="24"/>
        </w:rPr>
        <w:t xml:space="preserve">CAD Only</w:t>
      </w:r>
    </w:p>
    <w:p>
      <w:pPr>
        <w:spacing w:after="280" w:line="360"/>
        <w:jc w:val="left"/>
      </w:pPr>
      <w:r>
        <w:rPr>
          <w:rFonts w:ascii="Georgia" w:cs="Georgia" w:eastAsia="Georgia" w:hAnsi="Georgia"/>
          <w:b w:val="false"/>
          <w:bCs w:val="false"/>
          <w:i w:val="false"/>
          <w:iCs w:val="false"/>
          <w:color w:val="3A4A5C"/>
          <w:sz w:val="22"/>
          <w:szCs w:val="22"/>
        </w:rPr>
        <w:t xml:space="preserve">Restated as a standalone principle to leave no ambiguity. No cryptocurrency. No euros. No instruments denominated in anything other than Canadian dollars. This is both a regulatory requirement and a commercial one.</w:t>
      </w:r>
    </w:p>
    <w:p>
      <w:r>
        <w:br w:type="page"/>
      </w:r>
    </w:p>
    <w:p>
      <w:pPr>
        <w:spacing w:after="320" w:before="600"/>
      </w:pPr>
      <w:r>
        <w:rPr>
          <w:rFonts w:ascii="Georgia" w:cs="Georgia" w:eastAsia="Georgia" w:hAnsi="Georgia"/>
          <w:b/>
          <w:bCs/>
          <w:color w:val="0C1A2E"/>
          <w:sz w:val="28"/>
          <w:szCs w:val="28"/>
        </w:rPr>
        <w:t xml:space="preserve">Conclusion</w:t>
      </w:r>
    </w:p>
    <w:p>
      <w:pPr>
        <w:spacing w:after="280" w:line="360"/>
        <w:jc w:val="left"/>
      </w:pPr>
      <w:r>
        <w:rPr>
          <w:rFonts w:ascii="Georgia" w:cs="Georgia" w:eastAsia="Georgia" w:hAnsi="Georgia"/>
          <w:b w:val="false"/>
          <w:bCs w:val="false"/>
          <w:i w:val="false"/>
          <w:iCs w:val="false"/>
          <w:color w:val="3A4A5C"/>
          <w:sz w:val="22"/>
          <w:szCs w:val="22"/>
        </w:rPr>
        <w:t xml:space="preserve">The positions taken in the response letter are not aggressive. They are the minimum standard that any competent Canadian advisor would insist upon. The proposals as submitted by OZH contain provisions that no Canadian court would enforce, that no Canadian institutional lender would accept, and that no experienced Canadian business person would sign.</w:t>
      </w:r>
    </w:p>
    <w:p>
      <w:pPr>
        <w:spacing w:after="280" w:line="360"/>
        <w:jc w:val="left"/>
      </w:pPr>
      <w:r>
        <w:rPr>
          <w:rFonts w:ascii="Georgia" w:cs="Georgia" w:eastAsia="Georgia" w:hAnsi="Georgia"/>
          <w:b w:val="false"/>
          <w:bCs w:val="false"/>
          <w:i w:val="false"/>
          <w:iCs w:val="false"/>
          <w:color w:val="3A4A5C"/>
          <w:sz w:val="22"/>
          <w:szCs w:val="22"/>
        </w:rPr>
        <w:t xml:space="preserve">The counter-proposal is designed to shift the conversation from OZH's framework — which is structured to extract control and impose foreign terms on a Canadian asset — to a framework that reflects how business is actually done in Canada. If OZH is a serious partner, these terms give them a clear and attractive path forward. If they are not, these terms will make that clear quickly.</w:t>
      </w:r>
    </w:p>
    <w:p>
      <w:pPr>
        <w:spacing w:before="400"/>
      </w:pPr>
    </w:p>
    <w:p>
      <w:pPr>
        <w:pBdr>
          <w:bottom w:val="single" w:color="0C1A2E" w:sz="2" w:space="1"/>
        </w:pBdr>
        <w:spacing w:after="200"/>
      </w:pPr>
    </w:p>
    <w:p>
      <w:pPr>
        <w:spacing w:after="40" w:line="360"/>
        <w:jc w:val="left"/>
      </w:pPr>
      <w:r>
        <w:rPr>
          <w:rFonts w:ascii="Georgia" w:cs="Georgia" w:eastAsia="Georgia" w:hAnsi="Georgia"/>
          <w:b/>
          <w:bCs/>
          <w:i w:val="false"/>
          <w:iCs w:val="false"/>
          <w:color w:val="0C1A2E"/>
          <w:sz w:val="22"/>
          <w:szCs w:val="22"/>
        </w:rPr>
        <w:t xml:space="preserve">Joseph Soares, MBA, PMP, Adm.A.</w:t>
      </w:r>
    </w:p>
    <w:p>
      <w:pPr>
        <w:spacing w:after="40" w:line="360"/>
        <w:jc w:val="left"/>
      </w:pPr>
      <w:r>
        <w:rPr>
          <w:rFonts w:ascii="Georgia" w:cs="Georgia" w:eastAsia="Georgia" w:hAnsi="Georgia"/>
          <w:b w:val="false"/>
          <w:bCs w:val="false"/>
          <w:i w:val="false"/>
          <w:iCs w:val="false"/>
          <w:color w:val="3A4A5C"/>
          <w:sz w:val="22"/>
          <w:szCs w:val="22"/>
        </w:rPr>
        <w:t xml:space="preserve">Senior Advisor, IBPROM Corp</w:t>
      </w:r>
    </w:p>
    <w:p>
      <w:pPr>
        <w:spacing w:after="200" w:line="360"/>
        <w:jc w:val="left"/>
      </w:pPr>
      <w:r>
        <w:rPr>
          <w:rFonts w:ascii="Georgia" w:cs="Georgia" w:eastAsia="Georgia" w:hAnsi="Georgia"/>
          <w:b w:val="false"/>
          <w:bCs w:val="false"/>
          <w:i w:val="false"/>
          <w:iCs w:val="false"/>
          <w:color w:val="3A4A5C"/>
          <w:sz w:val="22"/>
          <w:szCs w:val="22"/>
        </w:rPr>
        <w:t xml:space="preserve">j@josephsoares.com</w:t>
      </w:r>
    </w:p>
    <w:p>
      <w:pPr>
        <w:spacing w:after="280" w:line="360"/>
        <w:jc w:val="left"/>
      </w:pPr>
      <w:r>
        <w:rPr>
          <w:rFonts w:ascii="Georgia" w:cs="Georgia" w:eastAsia="Georgia" w:hAnsi="Georgia"/>
          <w:b w:val="false"/>
          <w:bCs w:val="false"/>
          <w:i/>
          <w:iCs/>
          <w:color w:val="3A4A5C"/>
          <w:sz w:val="18"/>
          <w:szCs w:val="18"/>
        </w:rPr>
        <w:t xml:space="preserve">This document is prepared for the exclusive use of Dr. Nader Agharazi-Dormani and is privileged and confidential. It does not constitute legal advice. Dr. Dormani is advised to seek independent legal counsel before acting on any recommendation contained herein.</w:t>
      </w:r>
    </w:p>
    <w:sectPr>
      <w:headerReference w:type="default" r:id="rId7"/>
      <w:footerReference w:type="default" r:id="rId8"/>
      <w:pgSz w:w="12240" w:h="15840" w:orient="portrait"/>
      <w:pgMar w:top="1440" w:right="1728" w:bottom="1440" w:left="172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1" w:space="4"/>
      </w:pBdr>
      <w:tabs>
        <w:tab w:val="right" w:pos="8784"/>
      </w:tabs>
    </w:pPr>
    <w:r>
      <w:rPr>
        <w:rFonts w:ascii="Georgia" w:cs="Georgia" w:eastAsia="Georgia" w:hAnsi="Georgia"/>
        <w:color w:val="3A4A5C"/>
        <w:sz w:val="16"/>
        <w:szCs w:val="16"/>
      </w:rPr>
      <w:t xml:space="preserve">La Cite Gatineau — Phase II JV Response</w:t>
    </w:r>
    <w:r>
      <w:t xml:space="preserve">	</w:t>
    </w:r>
    <w:r>
      <w:rPr>
        <w:rFonts w:ascii="Georgia" w:cs="Georgia" w:eastAsia="Georgia" w:hAnsi="Georgia"/>
        <w:color w:val="3A4A5C"/>
        <w:sz w:val="16"/>
        <w:szCs w:val="16"/>
      </w:rPr>
      <w:t xml:space="preserve">Page </w:t>
    </w:r>
    <w:r>
      <w:rPr>
        <w:rFonts w:ascii="Georgia" w:cs="Georgia" w:eastAsia="Georgia" w:hAnsi="Georgia"/>
        <w:color w:val="3A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 w:space="4"/>
      </w:pBdr>
      <w:tabs>
        <w:tab w:val="right" w:pos="8784"/>
      </w:tabs>
    </w:pPr>
    <w:r>
      <w:rPr>
        <w:rFonts w:ascii="Georgia" w:cs="Georgia" w:eastAsia="Georgia" w:hAnsi="Georgia"/>
        <w:b/>
        <w:bCs/>
        <w:color w:val="C9A84C"/>
        <w:sz w:val="16"/>
        <w:szCs w:val="16"/>
      </w:rPr>
      <w:t xml:space="preserve">PRIVILEGED AND CONFIDENTIAL</w:t>
    </w:r>
    <w:r>
      <w:t xml:space="preserve">	</w:t>
    </w:r>
    <w:r>
      <w:rPr>
        <w:rFonts w:ascii="Georgia" w:cs="Georgia" w:eastAsia="Georgia" w:hAnsi="Georgia"/>
        <w:color w:val="3A4A5C"/>
        <w:sz w:val="16"/>
        <w:szCs w:val="16"/>
      </w:rPr>
      <w:t xml:space="preserve">IBPROM Corp — Clause-by-Clause Rationale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2026-04-09T21:57:06.114Z</dcterms:created>
  <dcterms:modified xsi:type="dcterms:W3CDTF">2026-04-09T21:57:06.115Z</dcterms:modified>
</cp:coreProperties>
</file>

<file path=docProps/custom.xml><?xml version="1.0" encoding="utf-8"?>
<Properties xmlns="http://schemas.openxmlformats.org/officeDocument/2006/custom-properties" xmlns:vt="http://schemas.openxmlformats.org/officeDocument/2006/docPropsVTypes"/>
</file>