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Georgia" w:cs="Georgia" w:eastAsia="Georgia" w:hAnsi="Georgia"/>
          <w:b/>
          <w:bCs/>
          <w:color w:val="666666"/>
          <w:sz w:val="28"/>
          <w:szCs w:val="28"/>
        </w:rPr>
        <w:t xml:space="preserve">MEMORANDUM</w:t>
      </w:r>
    </w:p>
    <w:p>
      <w:pPr>
        <w:spacing w:after="80"/>
      </w:pPr>
    </w:p>
    <w:p>
      <w:pPr>
        <w:pBdr>
          <w:bottom w:val="single" w:color="C6A25A" w:sz="12" w:space="8"/>
        </w:pBdr>
        <w:spacing w:after="200"/>
        <w:jc w:val="center"/>
      </w:pPr>
      <w:r>
        <w:rPr>
          <w:rFonts w:ascii="Georgia" w:cs="Georgia" w:eastAsia="Georgia" w:hAnsi="Georgia"/>
          <w:b/>
          <w:bCs/>
          <w:color w:val="0F1A2B"/>
          <w:sz w:val="40"/>
          <w:szCs w:val="40"/>
        </w:rPr>
        <w:t xml:space="preserve">Strategic Considerations for the
Dormani Portfolio</w:t>
      </w:r>
    </w:p>
    <w:p>
      <w:pPr>
        <w:spacing w:after="100"/>
        <w:jc w:val="center"/>
      </w:pPr>
      <w:r>
        <w:rPr>
          <w:rFonts w:ascii="Georgia" w:cs="Georgia" w:eastAsia="Georgia" w:hAnsi="Georgia"/>
          <w:i/>
          <w:iCs/>
          <w:color w:val="666666"/>
          <w:sz w:val="24"/>
          <w:szCs w:val="24"/>
        </w:rPr>
        <w:t xml:space="preserve">Observations Arising from the Leasing Mandate</w:t>
      </w:r>
    </w:p>
    <w:p>
      <w:pPr>
        <w:spacing w:before="800"/>
        <w:jc w:val="center"/>
      </w:pPr>
      <w:r>
        <w:rPr>
          <w:rFonts w:ascii="Georgia" w:cs="Georgia" w:eastAsia="Georgia" w:hAnsi="Georgia"/>
          <w:color w:val="333333"/>
          <w:sz w:val="22"/>
          <w:szCs w:val="22"/>
        </w:rPr>
        <w:t xml:space="preserve">For the Consideration of Dr. Nader Dormani</w:t>
      </w:r>
    </w:p>
    <w:p>
      <w:pPr>
        <w:spacing w:after="80"/>
        <w:jc w:val="center"/>
      </w:pPr>
      <w:r>
        <w:rPr>
          <w:rFonts w:ascii="Georgia" w:cs="Georgia" w:eastAsia="Georgia" w:hAnsi="Georgia"/>
          <w:color w:val="333333"/>
          <w:sz w:val="22"/>
          <w:szCs w:val="22"/>
        </w:rPr>
        <w:t xml:space="preserve">Prepared by Joseph Soares, Adm.A., PMP, ACC</w:t>
      </w:r>
    </w:p>
    <w:p>
      <w:pPr>
        <w:spacing w:after="80"/>
        <w:jc w:val="center"/>
      </w:pPr>
      <w:r>
        <w:rPr>
          <w:rFonts w:ascii="Georgia" w:cs="Georgia" w:eastAsia="Georgia" w:hAnsi="Georgia"/>
          <w:color w:val="333333"/>
          <w:sz w:val="22"/>
          <w:szCs w:val="22"/>
        </w:rPr>
        <w:t xml:space="preserve">IBPROM Corp</w:t>
      </w:r>
    </w:p>
    <w:p>
      <w:pPr>
        <w:spacing w:after="80"/>
        <w:jc w:val="center"/>
      </w:pPr>
      <w:r>
        <w:rPr>
          <w:rFonts w:ascii="Georgia" w:cs="Georgia" w:eastAsia="Georgia" w:hAnsi="Georgia"/>
          <w:color w:val="666666"/>
          <w:sz w:val="22"/>
          <w:szCs w:val="22"/>
        </w:rPr>
        <w:t xml:space="preserve">April 2026</w:t>
      </w:r>
    </w:p>
    <w:p>
      <w:pPr>
        <w:spacing w:before="400"/>
        <w:jc w:val="center"/>
      </w:pPr>
      <w:r>
        <w:rPr>
          <w:rFonts w:ascii="Georgia" w:cs="Georgia" w:eastAsia="Georgia" w:hAnsi="Georgia"/>
          <w:b/>
          <w:bCs/>
          <w:color w:val="CC3333"/>
          <w:sz w:val="20"/>
          <w:szCs w:val="20"/>
        </w:rPr>
        <w:t xml:space="preserve">CONFIDENTIAL — FOR DISCUSSION PURPOSES ONLY</w:t>
      </w:r>
    </w:p>
    <w:p>
      <w:pPr>
        <w:spacing w:before="100"/>
        <w:jc w:val="center"/>
      </w:pPr>
      <w:r>
        <w:rPr>
          <w:rFonts w:ascii="Georgia" w:cs="Georgia" w:eastAsia="Georgia" w:hAnsi="Georgia"/>
          <w:i/>
          <w:iCs/>
          <w:color w:val="666666"/>
          <w:sz w:val="18"/>
          <w:szCs w:val="18"/>
        </w:rPr>
        <w:t xml:space="preserve">This document presents strategic observations, not legal or tax advice.
All concepts require validation by qualified legal and tax professionals.</w:t>
      </w:r>
    </w:p>
    <w:p>
      <w:r>
        <w:br w:type="page"/>
      </w:r>
    </w:p>
    <w:p>
      <w:pPr>
        <w:pStyle w:val="Heading1"/>
        <w:spacing w:after="200" w:before="360"/>
      </w:pPr>
      <w:r>
        <w:rPr>
          <w:rFonts w:ascii="Georgia" w:cs="Georgia" w:eastAsia="Georgia" w:hAnsi="Georgia"/>
          <w:b/>
          <w:bCs/>
          <w:color w:val="0F1A2B"/>
          <w:sz w:val="32"/>
          <w:szCs w:val="32"/>
        </w:rPr>
        <w:t xml:space="preserve">1. Purpose of This Memorandum</w:t>
      </w:r>
    </w:p>
    <w:p>
      <w:pPr>
        <w:spacing w:after="120"/>
        <w:jc w:val="left"/>
      </w:pPr>
      <w:r>
        <w:rPr>
          <w:rFonts w:ascii="Georgia" w:cs="Georgia" w:eastAsia="Georgia" w:hAnsi="Georgia"/>
          <w:b w:val="false"/>
          <w:bCs w:val="false"/>
          <w:i w:val="false"/>
          <w:iCs w:val="false"/>
          <w:color w:val="333333"/>
          <w:sz w:val="21"/>
          <w:szCs w:val="21"/>
        </w:rPr>
        <w:t xml:space="preserve">Dr. Dormani,</w:t>
      </w:r>
    </w:p>
    <w:p>
      <w:pPr>
        <w:spacing w:after="120"/>
        <w:jc w:val="left"/>
      </w:pPr>
      <w:r>
        <w:rPr>
          <w:rFonts w:ascii="Georgia" w:cs="Georgia" w:eastAsia="Georgia" w:hAnsi="Georgia"/>
          <w:b w:val="false"/>
          <w:bCs w:val="false"/>
          <w:i w:val="false"/>
          <w:iCs w:val="false"/>
          <w:color w:val="333333"/>
          <w:sz w:val="21"/>
          <w:szCs w:val="21"/>
        </w:rPr>
        <w:t xml:space="preserve">In the course of working on the leasing mandate for 179 and 191 Promenade du Portage, I have had the opportunity to think carefully about your properties, their positioning, and the broader context in which they operate. As I have researched potential tenants, analyzed the Gatineau commercial market, and explored creative approaches to fill your spaces, several observations have emerged that extend beyond the immediate leasing question.</w:t>
      </w:r>
    </w:p>
    <w:p>
      <w:pPr>
        <w:spacing w:after="120"/>
        <w:jc w:val="left"/>
      </w:pPr>
      <w:r>
        <w:rPr>
          <w:rFonts w:ascii="Georgia" w:cs="Georgia" w:eastAsia="Georgia" w:hAnsi="Georgia"/>
          <w:b w:val="false"/>
          <w:bCs w:val="false"/>
          <w:i w:val="false"/>
          <w:iCs w:val="false"/>
          <w:color w:val="333333"/>
          <w:sz w:val="21"/>
          <w:szCs w:val="21"/>
        </w:rPr>
        <w:t xml:space="preserve">These are not recommendations. They are strategic considerations — ideas and structural possibilities that I believe merit your attention and, if they interest you, a deeper conversation with the appropriate professionals. I present them here because this is the kind of thinking I do as an administrateur agréé: looking across jurisdictions, across asset classes, and across time horizons to identify opportunities that may not be visible when each property or business is considered in isolation.</w:t>
      </w:r>
    </w:p>
    <w:p>
      <w:pPr>
        <w:spacing w:after="120"/>
        <w:jc w:val="left"/>
      </w:pPr>
      <w:r>
        <w:rPr>
          <w:rFonts w:ascii="Georgia" w:cs="Georgia" w:eastAsia="Georgia" w:hAnsi="Georgia"/>
          <w:b w:val="false"/>
          <w:bCs w:val="false"/>
          <w:i w:val="false"/>
          <w:iCs w:val="false"/>
          <w:color w:val="333333"/>
          <w:sz w:val="21"/>
          <w:szCs w:val="21"/>
        </w:rPr>
        <w:t xml:space="preserve">My role in presenting these ideas is to paint a picture of what could be possible. The detailed work — the tax modelling, the legal structuring, the regulatory compliance — belongs to qualified accountants, tax lawyers, and notaires who can account for every consideration I may not have the training to see. I am not a lawyer. I am not an accountant. But I have spent my career at the intersection of government policy, strategic planning, and complex operations, and I know how to think about systems.</w:t>
      </w:r>
    </w:p>
    <w:p>
      <w:pPr>
        <w:spacing w:after="120"/>
        <w:jc w:val="left"/>
      </w:pPr>
      <w:r>
        <w:rPr>
          <w:rFonts w:ascii="Georgia" w:cs="Georgia" w:eastAsia="Georgia" w:hAnsi="Georgia"/>
          <w:b w:val="false"/>
          <w:bCs w:val="false"/>
          <w:i w:val="false"/>
          <w:iCs w:val="false"/>
          <w:color w:val="333333"/>
          <w:sz w:val="21"/>
          <w:szCs w:val="21"/>
        </w:rPr>
        <w:t xml:space="preserve">I hope you find these observations useful. I am available to discuss any of them at your convenience.</w:t>
      </w:r>
    </w:p>
    <w:p>
      <w:r>
        <w:br w:type="page"/>
      </w:r>
    </w:p>
    <w:p>
      <w:pPr>
        <w:pStyle w:val="Heading1"/>
        <w:spacing w:after="200" w:before="360"/>
      </w:pPr>
      <w:r>
        <w:rPr>
          <w:rFonts w:ascii="Georgia" w:cs="Georgia" w:eastAsia="Georgia" w:hAnsi="Georgia"/>
          <w:b/>
          <w:bCs/>
          <w:color w:val="0F1A2B"/>
          <w:sz w:val="32"/>
          <w:szCs w:val="32"/>
        </w:rPr>
        <w:t xml:space="preserve">2. The Dormani Portfolio — A Strategic View</w:t>
      </w:r>
    </w:p>
    <w:p>
      <w:pPr>
        <w:spacing w:after="120"/>
        <w:jc w:val="left"/>
      </w:pPr>
      <w:r>
        <w:rPr>
          <w:rFonts w:ascii="Georgia" w:cs="Georgia" w:eastAsia="Georgia" w:hAnsi="Georgia"/>
          <w:b w:val="false"/>
          <w:bCs w:val="false"/>
          <w:i w:val="false"/>
          <w:iCs w:val="false"/>
          <w:color w:val="333333"/>
          <w:sz w:val="21"/>
          <w:szCs w:val="21"/>
        </w:rPr>
        <w:t xml:space="preserve">Before discussing structural considerations, it is worth looking at the full picture. Based on publicly available information, the Dormani portfolio spans three distinct sectors and represents a substantial concentration of assets in the Outaouais region.</w:t>
      </w:r>
    </w:p>
    <w:p>
      <w:pPr>
        <w:pStyle w:val="Heading2"/>
        <w:spacing w:after="160" w:before="280"/>
      </w:pPr>
      <w:r>
        <w:rPr>
          <w:rFonts w:ascii="Georgia" w:cs="Georgia" w:eastAsia="Georgia" w:hAnsi="Georgia"/>
          <w:b/>
          <w:bCs/>
          <w:color w:val="1B3154"/>
          <w:sz w:val="26"/>
          <w:szCs w:val="26"/>
        </w:rPr>
        <w:t xml:space="preserve">2.1 Automotive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Entity</w:t>
            </w:r>
          </w:p>
        </w:tc>
        <w:tc>
          <w:tcPr>
            <w:tcW w:type="dxa" w:w="25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Location</w:t>
            </w:r>
          </w:p>
        </w:tc>
        <w:tc>
          <w:tcPr>
            <w:tcW w:type="dxa" w:w="20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Type</w:t>
            </w:r>
          </w:p>
        </w:tc>
        <w:tc>
          <w:tcPr>
            <w:tcW w:type="dxa" w:w="286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Dormani Nissan</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1185 Boul. la Vérendrye Ouest, Gatineau</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New vehicle dealership</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Flagship dealership; franchise agreement with Nissan Canada</w:t>
            </w:r>
          </w:p>
        </w:tc>
      </w:tr>
      <w:tr>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Dormani Infiniti</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1185B Boul. la Vérendrye Ouest, Gatineau</w:t>
            </w:r>
          </w:p>
        </w:tc>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New vehicle dealership</w:t>
            </w:r>
          </w:p>
        </w:tc>
        <w:tc>
          <w:tcPr>
            <w:tcW w:type="dxa" w:w="28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Premium/luxury brand; same campus as Nissan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Mega Automobile</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1261 Boul. Saint-Joseph, Gatineau</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Pre-owned vehicle dealership</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Est. 1998; 800+ vehicle inventory; #1 pre-owned volume dealer in Eastern Ontario/Western Quebec</w:t>
            </w:r>
          </w:p>
        </w:tc>
      </w:tr>
      <w:tr>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Additional dealerships</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Gatineau area</w:t>
            </w:r>
          </w:p>
        </w:tc>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New vehicle dealerships</w:t>
            </w:r>
          </w:p>
        </w:tc>
        <w:tc>
          <w:tcPr>
            <w:tcW w:type="dxa" w:w="28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Le Droit reports five dealerships total; Mazda and Mitsubishi operations indicated by Joseph Soares</w:t>
            </w:r>
          </w:p>
        </w:tc>
      </w:tr>
    </w:tbl>
    <w:p>
      <w:pPr>
        <w:spacing w:after="80"/>
      </w:pPr>
    </w:p>
    <w:p>
      <w:pPr>
        <w:pStyle w:val="Heading2"/>
        <w:spacing w:after="160" w:before="280"/>
      </w:pPr>
      <w:r>
        <w:rPr>
          <w:rFonts w:ascii="Georgia" w:cs="Georgia" w:eastAsia="Georgia" w:hAnsi="Georgia"/>
          <w:b/>
          <w:bCs/>
          <w:color w:val="1B3154"/>
          <w:sz w:val="26"/>
          <w:szCs w:val="26"/>
        </w:rPr>
        <w:t xml:space="preserve">2.2 Commercial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Property</w:t>
            </w:r>
          </w:p>
        </w:tc>
        <w:tc>
          <w:tcPr>
            <w:tcW w:type="dxa" w:w="22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Address</w:t>
            </w:r>
          </w:p>
        </w:tc>
        <w:tc>
          <w:tcPr>
            <w:tcW w:type="dxa" w:w="20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Type</w:t>
            </w:r>
          </w:p>
        </w:tc>
        <w:tc>
          <w:tcPr>
            <w:tcW w:type="dxa" w:w="316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Size / Details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Chez Henri</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179 Promenade du Portage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Class A commercial office</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LEED Gold; Floors 2 (8,289 sq ft), 3 (7,530 sq ft), 5 (3,116 sq ft); historic building (1929); ground floor salon infrastructure</w:t>
            </w:r>
          </w:p>
        </w:tc>
      </w:tr>
      <w:tr>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Place des Explorateurs</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191 Promenade du Portage</w:t>
            </w:r>
          </w:p>
        </w:tc>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Commercial office</w:t>
            </w:r>
          </w:p>
        </w:tc>
        <w:tc>
          <w:tcPr>
            <w:tcW w:type="dxa" w:w="31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32,500 sq ft gross / 26,057 sq ft leasable; 6 floors; government-built; renovated 2001; $1.6M TI in 2018; vacant since Sept 2023</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La Cité — Commercial</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700 Boul. du Carrefour</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Ground-floor commercial + office</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15,000+ sq ft commercial (ground); 25,000 sq ft office (2nd floor); part of La Cité mixed-use development</w:t>
            </w:r>
          </w:p>
        </w:tc>
      </w:tr>
    </w:tbl>
    <w:p>
      <w:pPr>
        <w:spacing w:after="80"/>
      </w:pPr>
    </w:p>
    <w:p>
      <w:pPr>
        <w:pStyle w:val="Heading2"/>
        <w:spacing w:after="160" w:before="280"/>
      </w:pPr>
      <w:r>
        <w:rPr>
          <w:rFonts w:ascii="Georgia" w:cs="Georgia" w:eastAsia="Georgia" w:hAnsi="Georgia"/>
          <w:b/>
          <w:bCs/>
          <w:color w:val="1B3154"/>
          <w:sz w:val="26"/>
          <w:szCs w:val="26"/>
        </w:rPr>
        <w:t xml:space="preserve">2.3 Residential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Property</w:t>
            </w:r>
          </w:p>
        </w:tc>
        <w:tc>
          <w:tcPr>
            <w:tcW w:type="dxa" w:w="22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Address</w:t>
            </w:r>
          </w:p>
        </w:tc>
        <w:tc>
          <w:tcPr>
            <w:tcW w:type="dxa" w:w="20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Type</w:t>
            </w:r>
          </w:p>
        </w:tc>
        <w:tc>
          <w:tcPr>
            <w:tcW w:type="dxa" w:w="296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Size / Details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La Cité Gatineau (Tower 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700 Boul. du Carrefour</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19-floor residential tower</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205+ luxury condo units; 90%+ occupancy; TLA Architectes; BBL Construction</w:t>
            </w:r>
          </w:p>
        </w:tc>
      </w:tr>
      <w:tr>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La Cité Phase 2 (Planned)</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Boulevard de la Cité area</w:t>
            </w:r>
          </w:p>
        </w:tc>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Two additional residential towers</w:t>
            </w:r>
          </w:p>
        </w:tc>
        <w:tc>
          <w:tcPr>
            <w:tcW w:type="dxa" w:w="29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Up to 2,700 units planned; environmental permit for wetland fill denied Nov 2021; provincial building ban since lifted; City of Gatineau processing application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"Dozens of properties"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Throughout Outaouais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Mixed residential/commercial</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Per Le Droit (2019): Dormani possesses “dozens of lands, buildings and properties in Outaouais”</w:t>
            </w:r>
          </w:p>
        </w:tc>
      </w:tr>
    </w:tbl>
    <w:p>
      <w:pPr>
        <w:spacing w:after="80"/>
      </w:pPr>
    </w:p>
    <w:p>
      <w:pPr>
        <w:pStyle w:val="Heading2"/>
        <w:spacing w:after="160" w:before="280"/>
      </w:pPr>
      <w:r>
        <w:rPr>
          <w:rFonts w:ascii="Georgia" w:cs="Georgia" w:eastAsia="Georgia" w:hAnsi="Georgia"/>
          <w:b/>
          <w:bCs/>
          <w:color w:val="1B3154"/>
          <w:sz w:val="26"/>
          <w:szCs w:val="26"/>
        </w:rPr>
        <w:t xml:space="preserve">2.4 Development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Property</w:t>
            </w:r>
          </w:p>
        </w:tc>
        <w:tc>
          <w:tcPr>
            <w:tcW w:type="dxa" w:w="22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Location</w:t>
            </w:r>
          </w:p>
        </w:tc>
        <w:tc>
          <w:tcPr>
            <w:tcW w:type="dxa" w:w="22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Status</w:t>
            </w:r>
          </w:p>
        </w:tc>
        <w:tc>
          <w:tcPr>
            <w:tcW w:type="dxa" w:w="276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Details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La Cité Phase 2 land</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Boulevard de la Cité, Gatineau</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Approved (building ban lifted); municipal processing underway</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Zoned for 2,700 residential units across two towers; environmental challenges resolved at provincial level</w:t>
            </w:r>
          </w:p>
        </w:tc>
      </w:tr>
      <w:tr>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Chelsea property</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Between Voie Verte and Chelsea Creek, Chelsea QC</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Land swap settled; development proceeding</w:t>
            </w:r>
          </w:p>
        </w:tc>
        <w:tc>
          <w:tcPr>
            <w:tcW w:type="dxa" w:w="27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~62 acres; 40 homes planned; landslide zone designation; environmental setback rules apply</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Additional parcels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Gatineau area</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Unknown</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Portfolio likely includes additional undeveloped parcels given development history</w:t>
            </w:r>
          </w:p>
        </w:tc>
      </w:tr>
    </w:tbl>
    <w:p>
      <w:pPr>
        <w:spacing w:after="80"/>
      </w:pPr>
    </w:p>
    <w:p>
      <w:pPr>
        <w:pStyle w:val="Heading2"/>
        <w:spacing w:after="160" w:before="280"/>
      </w:pPr>
      <w:r>
        <w:rPr>
          <w:rFonts w:ascii="Georgia" w:cs="Georgia" w:eastAsia="Georgia" w:hAnsi="Georgia"/>
          <w:b/>
          <w:bCs/>
          <w:color w:val="1B3154"/>
          <w:sz w:val="26"/>
          <w:szCs w:val="26"/>
        </w:rPr>
        <w:t xml:space="preserve">2.5 Corporate Entities (Publicly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Entity</w:t>
            </w:r>
          </w:p>
        </w:tc>
        <w:tc>
          <w:tcPr>
            <w:tcW w:type="dxa" w:w="22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Type</w:t>
            </w:r>
          </w:p>
        </w:tc>
        <w:tc>
          <w:tcPr>
            <w:tcW w:type="dxa" w:w="466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Function</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Groupe Dormani</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Parent / brand name</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Overarching brand for automotive and real estate operations</w:t>
            </w:r>
          </w:p>
        </w:tc>
      </w:tr>
      <w:tr>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9266569 Canada Inc.</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Federal corporation</w:t>
            </w:r>
          </w:p>
        </w:tc>
        <w:tc>
          <w:tcPr>
            <w:tcW w:type="dxa" w:w="4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Registered at 1185 Boul. la Vérendrye Ouest (dealership address)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Dormani Commercial</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Commercial leasing division</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dormanicommercial.ca — markets 179, 191, and La Cité commercial</w:t>
            </w:r>
          </w:p>
        </w:tc>
      </w:tr>
      <w:tr>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La Cité Gatineau</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Development / property entity</w:t>
            </w:r>
          </w:p>
        </w:tc>
        <w:tc>
          <w:tcPr>
            <w:tcW w:type="dxa" w:w="4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lacitegatineau.com — residential and commercial marketing</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PMML Inc.</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External property management</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Véronique LeSieur; manages 179/191 leasing and broker coordination</w:t>
            </w:r>
          </w:p>
        </w:tc>
      </w:tr>
      <w:tr>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NEXO Management</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External advisory</w:t>
            </w:r>
          </w:p>
        </w:tc>
        <w:tc>
          <w:tcPr>
            <w:tcW w:type="dxa" w:w="4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Marc Bouillé, RPA FMA; government leasing strategy advisor</w:t>
            </w:r>
          </w:p>
        </w:tc>
      </w:tr>
    </w:tbl>
    <w:p>
      <w:pPr>
        <w:spacing w:after="80"/>
      </w:pPr>
    </w:p>
    <w:p>
      <w:pPr>
        <w:pStyle w:val="Heading2"/>
        <w:spacing w:after="160" w:before="280"/>
      </w:pPr>
      <w:r>
        <w:rPr>
          <w:rFonts w:ascii="Georgia" w:cs="Georgia" w:eastAsia="Georgia" w:hAnsi="Georgia"/>
          <w:b/>
          <w:bCs/>
          <w:color w:val="1B3154"/>
          <w:sz w:val="26"/>
          <w:szCs w:val="26"/>
        </w:rPr>
        <w:t xml:space="preserve">2.6 What This Picture Reveals</w:t>
      </w:r>
    </w:p>
    <w:p>
      <w:pPr>
        <w:spacing w:after="120"/>
        <w:jc w:val="left"/>
      </w:pPr>
      <w:r>
        <w:rPr>
          <w:rFonts w:ascii="Georgia" w:cs="Georgia" w:eastAsia="Georgia" w:hAnsi="Georgia"/>
          <w:b w:val="false"/>
          <w:bCs w:val="false"/>
          <w:i w:val="false"/>
          <w:iCs w:val="false"/>
          <w:color w:val="333333"/>
          <w:sz w:val="21"/>
          <w:szCs w:val="21"/>
        </w:rPr>
        <w:t xml:space="preserve">The Dormani portfolio is substantial, diversified across three sectors, and geographically concentrated in one region. It includes active cash-generating businesses (dealerships, La Cité residential), vacant assets requiring activation (179, 191), and long-term development plays (Phase 2, Chelsea). This is not a simple landlord situation. This is a multi-sector family enterprise with significant complexity and significant opportunity.</w:t>
      </w:r>
    </w:p>
    <w:p>
      <w:pPr>
        <w:spacing w:after="120"/>
        <w:jc w:val="left"/>
      </w:pPr>
      <w:r>
        <w:rPr>
          <w:rFonts w:ascii="Georgia" w:cs="Georgia" w:eastAsia="Georgia" w:hAnsi="Georgia"/>
          <w:b w:val="false"/>
          <w:bCs w:val="false"/>
          <w:i w:val="false"/>
          <w:iCs w:val="false"/>
          <w:color w:val="333333"/>
          <w:sz w:val="21"/>
          <w:szCs w:val="21"/>
        </w:rPr>
        <w:t xml:space="preserve">The strategic considerations that follow arise from looking at this portfolio as an integrated whole, rather than as a collection of individual properties and businesses.</w:t>
      </w:r>
    </w:p>
    <w:p>
      <w:r>
        <w:br w:type="page"/>
      </w:r>
    </w:p>
    <w:p>
      <w:pPr>
        <w:pStyle w:val="Heading1"/>
        <w:spacing w:after="200" w:before="360"/>
      </w:pPr>
      <w:r>
        <w:rPr>
          <w:rFonts w:ascii="Georgia" w:cs="Georgia" w:eastAsia="Georgia" w:hAnsi="Georgia"/>
          <w:b/>
          <w:bCs/>
          <w:color w:val="0F1A2B"/>
          <w:sz w:val="32"/>
          <w:szCs w:val="32"/>
        </w:rPr>
        <w:t xml:space="preserve">3. Strategic Observations</w:t>
      </w:r>
    </w:p>
    <w:p>
      <w:pPr>
        <w:spacing w:after="120"/>
        <w:jc w:val="left"/>
      </w:pPr>
      <w:r>
        <w:rPr>
          <w:rFonts w:ascii="Georgia" w:cs="Georgia" w:eastAsia="Georgia" w:hAnsi="Georgia"/>
          <w:b w:val="false"/>
          <w:bCs w:val="false"/>
          <w:i w:val="false"/>
          <w:iCs w:val="false"/>
          <w:color w:val="333333"/>
          <w:sz w:val="21"/>
          <w:szCs w:val="21"/>
        </w:rPr>
        <w:t xml:space="preserve">The following observations are presented as starting points for discussion. Each one identifies a structural possibility that, if validated by the appropriate professionals, could strengthen the portfolio’s long-term position.</w:t>
      </w:r>
    </w:p>
    <w:p>
      <w:pPr>
        <w:pStyle w:val="Heading2"/>
        <w:spacing w:after="160" w:before="280"/>
      </w:pPr>
      <w:r>
        <w:rPr>
          <w:rFonts w:ascii="Georgia" w:cs="Georgia" w:eastAsia="Georgia" w:hAnsi="Georgia"/>
          <w:b/>
          <w:bCs/>
          <w:color w:val="1B3154"/>
          <w:sz w:val="26"/>
          <w:szCs w:val="26"/>
        </w:rPr>
        <w:t xml:space="preserve">3.1 Observation: The Portfolio May Benefit from a Holding Company Architecture</w:t>
      </w:r>
    </w:p>
    <w:p>
      <w:pPr>
        <w:pStyle w:val="Heading3"/>
        <w:spacing w:after="120" w:before="200"/>
      </w:pPr>
      <w:r>
        <w:rPr>
          <w:rFonts w:ascii="Georgia" w:cs="Georgia" w:eastAsia="Georgia" w:hAnsi="Georgia"/>
          <w:b/>
          <w:bCs/>
          <w:color w:val="333333"/>
          <w:sz w:val="22"/>
          <w:szCs w:val="22"/>
        </w:rPr>
        <w:t xml:space="preserve">What I Have Observed</w:t>
      </w:r>
    </w:p>
    <w:p>
      <w:pPr>
        <w:spacing w:after="120"/>
        <w:jc w:val="left"/>
      </w:pPr>
      <w:r>
        <w:rPr>
          <w:rFonts w:ascii="Georgia" w:cs="Georgia" w:eastAsia="Georgia" w:hAnsi="Georgia"/>
          <w:b w:val="false"/>
          <w:bCs w:val="false"/>
          <w:i w:val="false"/>
          <w:iCs w:val="false"/>
          <w:color w:val="333333"/>
          <w:sz w:val="21"/>
          <w:szCs w:val="21"/>
        </w:rPr>
        <w:t xml:space="preserve">The Dormani portfolio spans automotive retail, commercial real estate, residential development, and land holdings. Each sector carries different risk profiles, different tax treatment, and different liability exposure. A single operating structure — or a collection of entities without a deliberate hierarchy — means that a liability event in one sector (a lawsuit at a dealership, a construction defect at La Cité, an environmental claim on development land) could theoretically affect assets in another.</w:t>
      </w:r>
    </w:p>
    <w:p>
      <w:pPr>
        <w:pStyle w:val="Heading3"/>
        <w:spacing w:after="120" w:before="200"/>
      </w:pPr>
      <w:r>
        <w:rPr>
          <w:rFonts w:ascii="Georgia" w:cs="Georgia" w:eastAsia="Georgia" w:hAnsi="Georgia"/>
          <w:b/>
          <w:bCs/>
          <w:color w:val="333333"/>
          <w:sz w:val="22"/>
          <w:szCs w:val="22"/>
        </w:rPr>
        <w:t xml:space="preserve">What Could Be Possible</w:t>
      </w:r>
    </w:p>
    <w:p>
      <w:pPr>
        <w:spacing w:after="120"/>
        <w:jc w:val="left"/>
      </w:pPr>
      <w:r>
        <w:rPr>
          <w:rFonts w:ascii="Georgia" w:cs="Georgia" w:eastAsia="Georgia" w:hAnsi="Georgia"/>
          <w:b w:val="false"/>
          <w:bCs w:val="false"/>
          <w:i w:val="false"/>
          <w:iCs w:val="false"/>
          <w:color w:val="333333"/>
          <w:sz w:val="21"/>
          <w:szCs w:val="21"/>
        </w:rPr>
        <w:t xml:space="preserve">A holding company (HoldCo) / operating company (OpCo) architecture is the standard structure used by Quebec business families with multi-sector portfolios. The concept is straightforward:</w:t>
      </w:r>
    </w:p>
    <w:p>
      <w:pPr>
        <w:pStyle w:val="ListParagraph"/>
        <w:numPr>
          <w:ilvl w:val="0"/>
          <w:numId w:val="2"/>
        </w:numPr>
        <w:spacing w:after="80"/>
      </w:pPr>
      <w:r>
        <w:rPr>
          <w:rFonts w:ascii="Georgia" w:cs="Georgia" w:eastAsia="Georgia" w:hAnsi="Georgia"/>
          <w:color w:val="333333"/>
          <w:sz w:val="21"/>
          <w:szCs w:val="21"/>
        </w:rPr>
        <w:t xml:space="preserve">A holding company owns the real estate and passive investments.</w:t>
      </w:r>
    </w:p>
    <w:p>
      <w:pPr>
        <w:pStyle w:val="ListParagraph"/>
        <w:numPr>
          <w:ilvl w:val="0"/>
          <w:numId w:val="2"/>
        </w:numPr>
        <w:spacing w:after="80"/>
      </w:pPr>
      <w:r>
        <w:rPr>
          <w:rFonts w:ascii="Georgia" w:cs="Georgia" w:eastAsia="Georgia" w:hAnsi="Georgia"/>
          <w:color w:val="333333"/>
          <w:sz w:val="21"/>
          <w:szCs w:val="21"/>
        </w:rPr>
        <w:t xml:space="preserve">Separate operating companies run the dealerships, the residential management, and the commercial leasing.</w:t>
      </w:r>
    </w:p>
    <w:p>
      <w:pPr>
        <w:pStyle w:val="ListParagraph"/>
        <w:numPr>
          <w:ilvl w:val="0"/>
          <w:numId w:val="2"/>
        </w:numPr>
        <w:spacing w:after="80"/>
      </w:pPr>
      <w:r>
        <w:rPr>
          <w:rFonts w:ascii="Georgia" w:cs="Georgia" w:eastAsia="Georgia" w:hAnsi="Georgia"/>
          <w:color w:val="333333"/>
          <w:sz w:val="21"/>
          <w:szCs w:val="21"/>
        </w:rPr>
        <w:t xml:space="preserve">Each operating company pays fair-market rent to the holding company for the space it uses.</w:t>
      </w:r>
    </w:p>
    <w:p>
      <w:pPr>
        <w:pStyle w:val="ListParagraph"/>
        <w:numPr>
          <w:ilvl w:val="0"/>
          <w:numId w:val="2"/>
        </w:numPr>
        <w:spacing w:after="80"/>
      </w:pPr>
      <w:r>
        <w:rPr>
          <w:rFonts w:ascii="Georgia" w:cs="Georgia" w:eastAsia="Georgia" w:hAnsi="Georgia"/>
          <w:color w:val="333333"/>
          <w:sz w:val="21"/>
          <w:szCs w:val="21"/>
        </w:rPr>
        <w:t xml:space="preserve">The holding company is insulated from operational liabilities. The operating companies are insulated from each other.</w:t>
      </w:r>
    </w:p>
    <w:p>
      <w:pPr>
        <w:spacing w:after="80"/>
      </w:pPr>
    </w:p>
    <w:p>
      <w:pPr>
        <w:spacing w:after="120"/>
        <w:jc w:val="left"/>
      </w:pPr>
      <w:r>
        <w:rPr>
          <w:rFonts w:ascii="Georgia" w:cs="Georgia" w:eastAsia="Georgia" w:hAnsi="Georgia"/>
          <w:b w:val="false"/>
          <w:bCs w:val="false"/>
          <w:i w:val="false"/>
          <w:iCs w:val="false"/>
          <w:color w:val="333333"/>
          <w:sz w:val="21"/>
          <w:szCs w:val="21"/>
        </w:rPr>
        <w:t xml:space="preserve">This structure is widely used because it provides asset protection, tax efficiency (inter-corporate dividends flow tax-free between connected corporations under the Income Tax Act), and succession flexibility. It also makes it possible to transfer individual businesses or properties without disrupting the rest of the portfolio.</w:t>
      </w:r>
    </w:p>
    <w:p>
      <w:pPr>
        <w:pStyle w:val="Heading3"/>
        <w:spacing w:after="120" w:before="200"/>
      </w:pPr>
      <w:r>
        <w:rPr>
          <w:rFonts w:ascii="Georgia" w:cs="Georgia" w:eastAsia="Georgia" w:hAnsi="Georgia"/>
          <w:b/>
          <w:bCs/>
          <w:color w:val="333333"/>
          <w:sz w:val="22"/>
          <w:szCs w:val="22"/>
        </w:rPr>
        <w:t xml:space="preserve">What Would Need to Be Validated</w:t>
      </w:r>
    </w:p>
    <w:p>
      <w:pPr>
        <w:pStyle w:val="ListParagraph"/>
        <w:numPr>
          <w:ilvl w:val="0"/>
          <w:numId w:val="2"/>
        </w:numPr>
        <w:spacing w:after="80"/>
      </w:pPr>
      <w:r>
        <w:rPr>
          <w:rFonts w:ascii="Georgia" w:cs="Georgia" w:eastAsia="Georgia" w:hAnsi="Georgia"/>
          <w:color w:val="333333"/>
          <w:sz w:val="21"/>
          <w:szCs w:val="21"/>
        </w:rPr>
        <w:t xml:space="preserve">Whether the current corporate structure already provides this separation (it may)</w:t>
      </w:r>
    </w:p>
    <w:p>
      <w:pPr>
        <w:pStyle w:val="ListParagraph"/>
        <w:numPr>
          <w:ilvl w:val="0"/>
          <w:numId w:val="2"/>
        </w:numPr>
        <w:spacing w:after="80"/>
      </w:pPr>
      <w:r>
        <w:rPr>
          <w:rFonts w:ascii="Georgia" w:cs="Georgia" w:eastAsia="Georgia" w:hAnsi="Georgia"/>
          <w:color w:val="333333"/>
          <w:sz w:val="21"/>
          <w:szCs w:val="21"/>
        </w:rPr>
        <w:t xml:space="preserve">The tax implications of restructuring, including any deemed disposition triggers</w:t>
      </w:r>
    </w:p>
    <w:p>
      <w:pPr>
        <w:pStyle w:val="ListParagraph"/>
        <w:numPr>
          <w:ilvl w:val="0"/>
          <w:numId w:val="2"/>
        </w:numPr>
        <w:spacing w:after="80"/>
      </w:pPr>
      <w:r>
        <w:rPr>
          <w:rFonts w:ascii="Georgia" w:cs="Georgia" w:eastAsia="Georgia" w:hAnsi="Georgia"/>
          <w:color w:val="333333"/>
          <w:sz w:val="21"/>
          <w:szCs w:val="21"/>
        </w:rPr>
        <w:t xml:space="preserve">Whether Section 85 rollover provisions could defer tax on asset transfers</w:t>
      </w:r>
    </w:p>
    <w:p>
      <w:pPr>
        <w:pStyle w:val="ListParagraph"/>
        <w:numPr>
          <w:ilvl w:val="0"/>
          <w:numId w:val="2"/>
        </w:numPr>
        <w:spacing w:after="80"/>
      </w:pPr>
      <w:r>
        <w:rPr>
          <w:rFonts w:ascii="Georgia" w:cs="Georgia" w:eastAsia="Georgia" w:hAnsi="Georgia"/>
          <w:color w:val="333333"/>
          <w:sz w:val="21"/>
          <w:szCs w:val="21"/>
        </w:rPr>
        <w:t xml:space="preserve">The cost of implementation (typically $15,000–$30,000 in legal and accounting fees for a portfolio of this size)</w:t>
      </w:r>
    </w:p>
    <w:p>
      <w:pPr>
        <w:spacing w:after="120"/>
      </w:pPr>
      <w:r>
        <w:rPr>
          <w:rFonts w:ascii="Georgia" w:cs="Georgia" w:eastAsia="Georgia" w:hAnsi="Georgia"/>
          <w:b/>
          <w:bCs/>
          <w:color w:val="333333"/>
          <w:sz w:val="21"/>
          <w:szCs w:val="21"/>
        </w:rPr>
        <w:t xml:space="preserve">Who validates this: </w:t>
      </w:r>
      <w:r>
        <w:rPr>
          <w:rFonts w:ascii="Georgia" w:cs="Georgia" w:eastAsia="Georgia" w:hAnsi="Georgia"/>
          <w:color w:val="333333"/>
          <w:sz w:val="21"/>
          <w:szCs w:val="21"/>
        </w:rPr>
        <w:t xml:space="preserve">A Quebec corporate tax lawyer and a CPA specializing in HoldCo/OpCo structures.</w:t>
      </w:r>
    </w:p>
    <w:p>
      <w:pPr>
        <w:pStyle w:val="Heading2"/>
        <w:spacing w:after="160" w:before="280"/>
      </w:pPr>
      <w:r>
        <w:rPr>
          <w:rFonts w:ascii="Georgia" w:cs="Georgia" w:eastAsia="Georgia" w:hAnsi="Georgia"/>
          <w:b/>
          <w:bCs/>
          <w:color w:val="1B3154"/>
          <w:sz w:val="26"/>
          <w:szCs w:val="26"/>
        </w:rPr>
        <w:t xml:space="preserve">3.2 Observation: A Family Trust Could Serve Estate Planning and Succession Goals</w:t>
      </w:r>
    </w:p>
    <w:p>
      <w:pPr>
        <w:pStyle w:val="Heading3"/>
        <w:spacing w:after="120" w:before="200"/>
      </w:pPr>
      <w:r>
        <w:rPr>
          <w:rFonts w:ascii="Georgia" w:cs="Georgia" w:eastAsia="Georgia" w:hAnsi="Georgia"/>
          <w:b/>
          <w:bCs/>
          <w:color w:val="333333"/>
          <w:sz w:val="22"/>
          <w:szCs w:val="22"/>
        </w:rPr>
        <w:t xml:space="preserve">What I Have Observed</w:t>
      </w:r>
    </w:p>
    <w:p>
      <w:pPr>
        <w:spacing w:after="120"/>
        <w:jc w:val="left"/>
      </w:pPr>
      <w:r>
        <w:rPr>
          <w:rFonts w:ascii="Georgia" w:cs="Georgia" w:eastAsia="Georgia" w:hAnsi="Georgia"/>
          <w:b w:val="false"/>
          <w:bCs w:val="false"/>
          <w:i w:val="false"/>
          <w:iCs w:val="false"/>
          <w:color w:val="333333"/>
          <w:sz w:val="21"/>
          <w:szCs w:val="21"/>
        </w:rPr>
        <w:t xml:space="preserve">Dr. Dormani has built a substantial portfolio over decades. At some point, the question of how this wealth transfers to the next generation becomes a strategic priority. Under Quebec Civil Code (Articles 1260–1298), a family trust (fiducie) is a powerful tool for managing this transition.</w:t>
      </w:r>
    </w:p>
    <w:p>
      <w:pPr>
        <w:pStyle w:val="Heading3"/>
        <w:spacing w:after="120" w:before="200"/>
      </w:pPr>
      <w:r>
        <w:rPr>
          <w:rFonts w:ascii="Georgia" w:cs="Georgia" w:eastAsia="Georgia" w:hAnsi="Georgia"/>
          <w:b/>
          <w:bCs/>
          <w:color w:val="333333"/>
          <w:sz w:val="22"/>
          <w:szCs w:val="22"/>
        </w:rPr>
        <w:t xml:space="preserve">What Could Be Possible</w:t>
      </w:r>
    </w:p>
    <w:p>
      <w:pPr>
        <w:spacing w:after="120"/>
        <w:jc w:val="left"/>
      </w:pPr>
      <w:r>
        <w:rPr>
          <w:rFonts w:ascii="Georgia" w:cs="Georgia" w:eastAsia="Georgia" w:hAnsi="Georgia"/>
          <w:b w:val="false"/>
          <w:bCs w:val="false"/>
          <w:i w:val="false"/>
          <w:iCs w:val="false"/>
          <w:color w:val="333333"/>
          <w:sz w:val="21"/>
          <w:szCs w:val="21"/>
        </w:rPr>
        <w:t xml:space="preserve">A family trust could hold the real estate assets (or shares in a HoldCo that holds them), with Dr. Dormani’s family members as beneficiaries. The trust would be managed by trustees — which could include Dr. Dormani, family members, and independent professionals — according to a trust deed that reflects his intentions.</w:t>
      </w:r>
    </w:p>
    <w:p>
      <w:pPr>
        <w:spacing w:after="120"/>
        <w:jc w:val="left"/>
      </w:pPr>
      <w:r>
        <w:rPr>
          <w:rFonts w:ascii="Georgia" w:cs="Georgia" w:eastAsia="Georgia" w:hAnsi="Georgia"/>
          <w:b w:val="false"/>
          <w:bCs w:val="false"/>
          <w:i w:val="false"/>
          <w:iCs w:val="false"/>
          <w:color w:val="333333"/>
          <w:sz w:val="21"/>
          <w:szCs w:val="21"/>
        </w:rPr>
        <w:t xml:space="preserve">The potential advantages include:</w:t>
      </w:r>
    </w:p>
    <w:p>
      <w:pPr>
        <w:pStyle w:val="ListParagraph"/>
        <w:numPr>
          <w:ilvl w:val="0"/>
          <w:numId w:val="2"/>
        </w:numPr>
        <w:spacing w:after="80"/>
      </w:pPr>
      <w:r>
        <w:rPr>
          <w:rFonts w:ascii="Georgia" w:cs="Georgia" w:eastAsia="Georgia" w:hAnsi="Georgia"/>
          <w:color w:val="333333"/>
          <w:sz w:val="21"/>
          <w:szCs w:val="21"/>
        </w:rPr>
        <w:t xml:space="preserve">Income splitting: Trust income can be distributed among beneficiaries in lower tax brackets, reducing the overall family tax burden.</w:t>
      </w:r>
    </w:p>
    <w:p>
      <w:pPr>
        <w:pStyle w:val="ListParagraph"/>
        <w:numPr>
          <w:ilvl w:val="0"/>
          <w:numId w:val="2"/>
        </w:numPr>
        <w:spacing w:after="80"/>
      </w:pPr>
      <w:r>
        <w:rPr>
          <w:rFonts w:ascii="Georgia" w:cs="Georgia" w:eastAsia="Georgia" w:hAnsi="Georgia"/>
          <w:color w:val="333333"/>
          <w:sz w:val="21"/>
          <w:szCs w:val="21"/>
        </w:rPr>
        <w:t xml:space="preserve">Capital gains exemption multiplication: Each beneficiary has access to the lifetime capital gains exemption ($1.016M in 2026). A family with multiple beneficiaries can shelter significantly more capital gains than a single individual.</w:t>
      </w:r>
    </w:p>
    <w:p>
      <w:pPr>
        <w:pStyle w:val="ListParagraph"/>
        <w:numPr>
          <w:ilvl w:val="0"/>
          <w:numId w:val="2"/>
        </w:numPr>
        <w:spacing w:after="80"/>
      </w:pPr>
      <w:r>
        <w:rPr>
          <w:rFonts w:ascii="Georgia" w:cs="Georgia" w:eastAsia="Georgia" w:hAnsi="Georgia"/>
          <w:color w:val="333333"/>
          <w:sz w:val="21"/>
          <w:szCs w:val="21"/>
        </w:rPr>
        <w:t xml:space="preserve">Estate continuity: Assets held in trust pass by trust deed, not by will. This avoids probate delays, reduces estate administration costs, and provides privacy.</w:t>
      </w:r>
    </w:p>
    <w:p>
      <w:pPr>
        <w:pStyle w:val="ListParagraph"/>
        <w:numPr>
          <w:ilvl w:val="0"/>
          <w:numId w:val="2"/>
        </w:numPr>
        <w:spacing w:after="80"/>
      </w:pPr>
      <w:r>
        <w:rPr>
          <w:rFonts w:ascii="Georgia" w:cs="Georgia" w:eastAsia="Georgia" w:hAnsi="Georgia"/>
          <w:color w:val="333333"/>
          <w:sz w:val="21"/>
          <w:szCs w:val="21"/>
        </w:rPr>
        <w:t xml:space="preserve">Management continuity: The trust structure can include provisions for professional management of the portfolio if Dr. Dormani is ever unable or unwilling to manage it directly. This is particularly relevant for a family with specific care needs.</w:t>
      </w:r>
    </w:p>
    <w:p>
      <w:pPr>
        <w:pStyle w:val="Heading3"/>
        <w:spacing w:after="120" w:before="200"/>
      </w:pPr>
      <w:r>
        <w:rPr>
          <w:rFonts w:ascii="Georgia" w:cs="Georgia" w:eastAsia="Georgia" w:hAnsi="Georgia"/>
          <w:b/>
          <w:bCs/>
          <w:color w:val="333333"/>
          <w:sz w:val="22"/>
          <w:szCs w:val="22"/>
        </w:rPr>
        <w:t xml:space="preserve">Critical Considerations</w:t>
      </w:r>
    </w:p>
    <w:p>
      <w:pPr>
        <w:spacing w:after="120"/>
        <w:jc w:val="left"/>
      </w:pPr>
      <w:r>
        <w:rPr>
          <w:rFonts w:ascii="Georgia" w:cs="Georgia" w:eastAsia="Georgia" w:hAnsi="Georgia"/>
          <w:b w:val="false"/>
          <w:bCs w:val="false"/>
          <w:i w:val="false"/>
          <w:iCs w:val="false"/>
          <w:color w:val="333333"/>
          <w:sz w:val="21"/>
          <w:szCs w:val="21"/>
        </w:rPr>
        <w:t xml:space="preserve">The 21-year deemed disposition rule under the federal Income Tax Act means that trust assets are deemed to be sold at fair market value every 21 years, triggering capital gains tax even without an actual sale. For a real estate portfolio that appreciates significantly, this can create a substantial tax event. Proper planning (typically beginning 18–24 months before the anniversary) is essential.</w:t>
      </w:r>
    </w:p>
    <w:p>
      <w:pPr>
        <w:spacing w:after="120"/>
        <w:jc w:val="left"/>
      </w:pPr>
      <w:r>
        <w:rPr>
          <w:rFonts w:ascii="Georgia" w:cs="Georgia" w:eastAsia="Georgia" w:hAnsi="Georgia"/>
          <w:b w:val="false"/>
          <w:bCs w:val="false"/>
          <w:i w:val="false"/>
          <w:iCs w:val="false"/>
          <w:color w:val="333333"/>
          <w:sz w:val="21"/>
          <w:szCs w:val="21"/>
        </w:rPr>
        <w:t xml:space="preserve">Quebec family trusts operate under civil law, which differs from common-law provinces. The settlor, trustees, and beneficiaries have specific roles and obligations under the Civil Code. This is not a do-it-yourself exercise.</w:t>
      </w:r>
    </w:p>
    <w:p>
      <w:pPr>
        <w:spacing w:after="120"/>
      </w:pPr>
      <w:r>
        <w:rPr>
          <w:rFonts w:ascii="Georgia" w:cs="Georgia" w:eastAsia="Georgia" w:hAnsi="Georgia"/>
          <w:b/>
          <w:bCs/>
          <w:color w:val="333333"/>
          <w:sz w:val="21"/>
          <w:szCs w:val="21"/>
        </w:rPr>
        <w:t xml:space="preserve">Who validates this: </w:t>
      </w:r>
      <w:r>
        <w:rPr>
          <w:rFonts w:ascii="Georgia" w:cs="Georgia" w:eastAsia="Georgia" w:hAnsi="Georgia"/>
          <w:color w:val="333333"/>
          <w:sz w:val="21"/>
          <w:szCs w:val="21"/>
        </w:rPr>
        <w:t xml:space="preserve">A Quebec notaire experienced in fiducies, working with a tax advisor who understands the 21-year rule and Quebec-specific trust taxation.</w:t>
      </w:r>
    </w:p>
    <w:p>
      <w:pPr>
        <w:pStyle w:val="Heading2"/>
        <w:spacing w:after="160" w:before="280"/>
      </w:pPr>
      <w:r>
        <w:rPr>
          <w:rFonts w:ascii="Georgia" w:cs="Georgia" w:eastAsia="Georgia" w:hAnsi="Georgia"/>
          <w:b/>
          <w:bCs/>
          <w:color w:val="1B3154"/>
          <w:sz w:val="26"/>
          <w:szCs w:val="26"/>
        </w:rPr>
        <w:t xml:space="preserve">3.3 Observation: The Vacant Properties Could House Entities That Serve the Portfolio</w:t>
      </w:r>
    </w:p>
    <w:p>
      <w:pPr>
        <w:pStyle w:val="Heading3"/>
        <w:spacing w:after="120" w:before="200"/>
      </w:pPr>
      <w:r>
        <w:rPr>
          <w:rFonts w:ascii="Georgia" w:cs="Georgia" w:eastAsia="Georgia" w:hAnsi="Georgia"/>
          <w:b/>
          <w:bCs/>
          <w:color w:val="333333"/>
          <w:sz w:val="22"/>
          <w:szCs w:val="22"/>
        </w:rPr>
        <w:t xml:space="preserve">What I Have Observed</w:t>
      </w:r>
    </w:p>
    <w:p>
      <w:pPr>
        <w:spacing w:after="120"/>
        <w:jc w:val="left"/>
      </w:pPr>
      <w:r>
        <w:rPr>
          <w:rFonts w:ascii="Georgia" w:cs="Georgia" w:eastAsia="Georgia" w:hAnsi="Georgia"/>
          <w:b w:val="false"/>
          <w:bCs w:val="false"/>
          <w:i w:val="false"/>
          <w:iCs w:val="false"/>
          <w:color w:val="333333"/>
          <w:sz w:val="21"/>
          <w:szCs w:val="21"/>
        </w:rPr>
        <w:t xml:space="preserve">179 and 191 Promenade du Portage have significant vacant space. At the same time, the Dormani portfolio likely generates administrative, management, and operational needs that could themselves occupy commercial space: corporate offices, training facilities, community programming, and more.</w:t>
      </w:r>
    </w:p>
    <w:p>
      <w:pPr>
        <w:pStyle w:val="Heading3"/>
        <w:spacing w:after="120" w:before="200"/>
      </w:pPr>
      <w:r>
        <w:rPr>
          <w:rFonts w:ascii="Georgia" w:cs="Georgia" w:eastAsia="Georgia" w:hAnsi="Georgia"/>
          <w:b/>
          <w:bCs/>
          <w:color w:val="333333"/>
          <w:sz w:val="22"/>
          <w:szCs w:val="22"/>
        </w:rPr>
        <w:t xml:space="preserve">What Could Be Possible</w:t>
      </w:r>
    </w:p>
    <w:p>
      <w:pPr>
        <w:spacing w:after="120"/>
        <w:jc w:val="left"/>
      </w:pPr>
      <w:r>
        <w:rPr>
          <w:rFonts w:ascii="Georgia" w:cs="Georgia" w:eastAsia="Georgia" w:hAnsi="Georgia"/>
          <w:b w:val="false"/>
          <w:bCs w:val="false"/>
          <w:i w:val="false"/>
          <w:iCs w:val="false"/>
          <w:color w:val="333333"/>
          <w:sz w:val="21"/>
          <w:szCs w:val="21"/>
        </w:rPr>
        <w:t xml:space="preserve">One approach to activating vacant space is to create or attract entities that serve the broader portfolio — and that happen to need the kind of space these buildings offer. For example:</w:t>
      </w:r>
    </w:p>
    <w:p>
      <w:pPr>
        <w:pStyle w:val="ListParagraph"/>
        <w:numPr>
          <w:ilvl w:val="0"/>
          <w:numId w:val="2"/>
        </w:numPr>
        <w:spacing w:after="80"/>
      </w:pPr>
      <w:r>
        <w:rPr>
          <w:rFonts w:ascii="Georgia" w:cs="Georgia" w:eastAsia="Georgia" w:hAnsi="Georgia"/>
          <w:b/>
          <w:bCs/>
          <w:color w:val="333333"/>
          <w:sz w:val="21"/>
          <w:szCs w:val="21"/>
        </w:rPr>
        <w:t xml:space="preserve">A corporate head office: </w:t>
      </w:r>
      <w:r>
        <w:rPr>
          <w:rFonts w:ascii="Georgia" w:cs="Georgia" w:eastAsia="Georgia" w:hAnsi="Georgia"/>
          <w:color w:val="333333"/>
          <w:sz w:val="21"/>
          <w:szCs w:val="21"/>
        </w:rPr>
        <w:t xml:space="preserve">If Groupe Dormani’s administrative functions are currently located at the dealership campus, relocating them to 179 or 191 Promenade du Portage would create a legitimate tenant, project a more institutional corporate image, and activate space that is currently generating no revenue.</w:t>
      </w:r>
    </w:p>
    <w:p>
      <w:pPr>
        <w:pStyle w:val="ListParagraph"/>
        <w:numPr>
          <w:ilvl w:val="0"/>
          <w:numId w:val="2"/>
        </w:numPr>
        <w:spacing w:after="80"/>
      </w:pPr>
      <w:r>
        <w:rPr>
          <w:rFonts w:ascii="Georgia" w:cs="Georgia" w:eastAsia="Georgia" w:hAnsi="Georgia"/>
          <w:b/>
          <w:bCs/>
          <w:color w:val="333333"/>
          <w:sz w:val="21"/>
          <w:szCs w:val="21"/>
        </w:rPr>
        <w:t xml:space="preserve">A training facility: </w:t>
      </w:r>
      <w:r>
        <w:rPr>
          <w:rFonts w:ascii="Georgia" w:cs="Georgia" w:eastAsia="Georgia" w:hAnsi="Georgia"/>
          <w:color w:val="333333"/>
          <w:sz w:val="21"/>
          <w:szCs w:val="21"/>
        </w:rPr>
        <w:t xml:space="preserve">The dealerships, the property management operation, and any future development projects all require ongoing staff training. A dedicated training center at 179 or 191 could serve this function while also being available for community or partner use.</w:t>
      </w:r>
    </w:p>
    <w:p>
      <w:pPr>
        <w:pStyle w:val="ListParagraph"/>
        <w:numPr>
          <w:ilvl w:val="0"/>
          <w:numId w:val="2"/>
        </w:numPr>
        <w:spacing w:after="80"/>
      </w:pPr>
      <w:r>
        <w:rPr>
          <w:rFonts w:ascii="Georgia" w:cs="Georgia" w:eastAsia="Georgia" w:hAnsi="Georgia"/>
          <w:b/>
          <w:bCs/>
          <w:color w:val="333333"/>
          <w:sz w:val="21"/>
          <w:szCs w:val="21"/>
        </w:rPr>
        <w:t xml:space="preserve">A non-profit community organization: </w:t>
      </w:r>
      <w:r>
        <w:rPr>
          <w:rFonts w:ascii="Georgia" w:cs="Georgia" w:eastAsia="Georgia" w:hAnsi="Georgia"/>
          <w:color w:val="333333"/>
          <w:sz w:val="21"/>
          <w:szCs w:val="21"/>
        </w:rPr>
        <w:t xml:space="preserve">A Quebec non-profit organization (OBNL) focused on education, workforce development, or community benefit could be established to deliver programming that aligns with Dr. Dormani’s philanthropic interests (such as autism awareness, newcomer integration, or vocational training). This entity would need space, and it could lease that space at fair market value from the property.</w:t>
      </w:r>
    </w:p>
    <w:p>
      <w:pPr>
        <w:spacing w:after="80"/>
      </w:pPr>
    </w:p>
    <w:p>
      <w:pPr>
        <w:pStyle w:val="Heading3"/>
        <w:spacing w:after="120" w:before="200"/>
      </w:pPr>
      <w:r>
        <w:rPr>
          <w:rFonts w:ascii="Georgia" w:cs="Georgia" w:eastAsia="Georgia" w:hAnsi="Georgia"/>
          <w:b/>
          <w:bCs/>
          <w:color w:val="333333"/>
          <w:sz w:val="22"/>
          <w:szCs w:val="22"/>
        </w:rPr>
        <w:t xml:space="preserve">Important: Arm’s-Length Requirements</w:t>
      </w:r>
    </w:p>
    <w:p>
      <w:pPr>
        <w:spacing w:after="120"/>
        <w:jc w:val="left"/>
      </w:pPr>
      <w:r>
        <w:rPr>
          <w:rFonts w:ascii="Georgia" w:cs="Georgia" w:eastAsia="Georgia" w:hAnsi="Georgia"/>
          <w:b w:val="false"/>
          <w:bCs w:val="false"/>
          <w:i w:val="false"/>
          <w:iCs w:val="false"/>
          <w:color w:val="333333"/>
          <w:sz w:val="21"/>
          <w:szCs w:val="21"/>
        </w:rPr>
        <w:t xml:space="preserve">Any arrangement where a related entity rents space from a property owner must be at fair market value and properly documented. Section 69 of the Income Tax Act governs related-party transactions, and the CRA scrutinizes arrangements where the same individual or family controls both the landlord and the tenant. This is not illegal — it is done routinely across Canada — but it must be structured correctly:</w:t>
      </w:r>
    </w:p>
    <w:p>
      <w:pPr>
        <w:pStyle w:val="ListParagraph"/>
        <w:numPr>
          <w:ilvl w:val="0"/>
          <w:numId w:val="2"/>
        </w:numPr>
        <w:spacing w:after="80"/>
      </w:pPr>
      <w:r>
        <w:rPr>
          <w:rFonts w:ascii="Georgia" w:cs="Georgia" w:eastAsia="Georgia" w:hAnsi="Georgia"/>
          <w:color w:val="333333"/>
          <w:sz w:val="21"/>
          <w:szCs w:val="21"/>
        </w:rPr>
        <w:t xml:space="preserve">Rent must be at or below independently established market rates</w:t>
      </w:r>
    </w:p>
    <w:p>
      <w:pPr>
        <w:pStyle w:val="ListParagraph"/>
        <w:numPr>
          <w:ilvl w:val="0"/>
          <w:numId w:val="2"/>
        </w:numPr>
        <w:spacing w:after="80"/>
      </w:pPr>
      <w:r>
        <w:rPr>
          <w:rFonts w:ascii="Georgia" w:cs="Georgia" w:eastAsia="Georgia" w:hAnsi="Georgia"/>
          <w:color w:val="333333"/>
          <w:sz w:val="21"/>
          <w:szCs w:val="21"/>
        </w:rPr>
        <w:t xml:space="preserve">A written lease agreement must exist with standard commercial terms</w:t>
      </w:r>
    </w:p>
    <w:p>
      <w:pPr>
        <w:pStyle w:val="ListParagraph"/>
        <w:numPr>
          <w:ilvl w:val="0"/>
          <w:numId w:val="2"/>
        </w:numPr>
        <w:spacing w:after="80"/>
      </w:pPr>
      <w:r>
        <w:rPr>
          <w:rFonts w:ascii="Georgia" w:cs="Georgia" w:eastAsia="Georgia" w:hAnsi="Georgia"/>
          <w:color w:val="333333"/>
          <w:sz w:val="21"/>
          <w:szCs w:val="21"/>
        </w:rPr>
        <w:t xml:space="preserve">If the tenant is a non-profit, no part of its income can flow back to the founder as personal benefit</w:t>
      </w:r>
    </w:p>
    <w:p>
      <w:pPr>
        <w:pStyle w:val="ListParagraph"/>
        <w:numPr>
          <w:ilvl w:val="0"/>
          <w:numId w:val="2"/>
        </w:numPr>
        <w:spacing w:after="80"/>
      </w:pPr>
      <w:r>
        <w:rPr>
          <w:rFonts w:ascii="Georgia" w:cs="Georgia" w:eastAsia="Georgia" w:hAnsi="Georgia"/>
          <w:color w:val="333333"/>
          <w:sz w:val="21"/>
          <w:szCs w:val="21"/>
        </w:rPr>
        <w:t xml:space="preserve">Board composition of the non-profit should include independent directors (not exclusively family)</w:t>
      </w:r>
    </w:p>
    <w:p>
      <w:pPr>
        <w:pStyle w:val="ListParagraph"/>
        <w:numPr>
          <w:ilvl w:val="0"/>
          <w:numId w:val="2"/>
        </w:numPr>
        <w:spacing w:after="80"/>
      </w:pPr>
      <w:r>
        <w:rPr>
          <w:rFonts w:ascii="Georgia" w:cs="Georgia" w:eastAsia="Georgia" w:hAnsi="Georgia"/>
          <w:color w:val="333333"/>
          <w:sz w:val="21"/>
          <w:szCs w:val="21"/>
        </w:rPr>
        <w:t xml:space="preserve">Regular market rent reviews should be documented</w:t>
      </w:r>
    </w:p>
    <w:p>
      <w:pPr>
        <w:spacing w:after="120"/>
      </w:pPr>
      <w:r>
        <w:rPr>
          <w:rFonts w:ascii="Georgia" w:cs="Georgia" w:eastAsia="Georgia" w:hAnsi="Georgia"/>
          <w:b/>
          <w:bCs/>
          <w:color w:val="333333"/>
          <w:sz w:val="21"/>
          <w:szCs w:val="21"/>
        </w:rPr>
        <w:t xml:space="preserve">Who validates this: </w:t>
      </w:r>
      <w:r>
        <w:rPr>
          <w:rFonts w:ascii="Georgia" w:cs="Georgia" w:eastAsia="Georgia" w:hAnsi="Georgia"/>
          <w:color w:val="333333"/>
          <w:sz w:val="21"/>
          <w:szCs w:val="21"/>
        </w:rPr>
        <w:t xml:space="preserve">A CPA with experience in CRA compliance for related-party transactions, and a lawyer for the lease agreements.</w:t>
      </w:r>
    </w:p>
    <w:p>
      <w:pPr>
        <w:pStyle w:val="Heading2"/>
        <w:spacing w:after="160" w:before="280"/>
      </w:pPr>
      <w:r>
        <w:rPr>
          <w:rFonts w:ascii="Georgia" w:cs="Georgia" w:eastAsia="Georgia" w:hAnsi="Georgia"/>
          <w:b/>
          <w:bCs/>
          <w:color w:val="1B3154"/>
          <w:sz w:val="26"/>
          <w:szCs w:val="26"/>
        </w:rPr>
        <w:t xml:space="preserve">3.4 Observation: A Non-Profit Education Entity Could Access Government Funding</w:t>
      </w:r>
    </w:p>
    <w:p>
      <w:pPr>
        <w:pStyle w:val="Heading3"/>
        <w:spacing w:after="120" w:before="200"/>
      </w:pPr>
      <w:r>
        <w:rPr>
          <w:rFonts w:ascii="Georgia" w:cs="Georgia" w:eastAsia="Georgia" w:hAnsi="Georgia"/>
          <w:b/>
          <w:bCs/>
          <w:color w:val="333333"/>
          <w:sz w:val="22"/>
          <w:szCs w:val="22"/>
        </w:rPr>
        <w:t xml:space="preserve">What I Have Observed</w:t>
      </w:r>
    </w:p>
    <w:p>
      <w:pPr>
        <w:spacing w:after="120"/>
        <w:jc w:val="left"/>
      </w:pPr>
      <w:r>
        <w:rPr>
          <w:rFonts w:ascii="Georgia" w:cs="Georgia" w:eastAsia="Georgia" w:hAnsi="Georgia"/>
          <w:b w:val="false"/>
          <w:bCs w:val="false"/>
          <w:i w:val="false"/>
          <w:iCs w:val="false"/>
          <w:color w:val="333333"/>
          <w:sz w:val="21"/>
          <w:szCs w:val="21"/>
        </w:rPr>
        <w:t xml:space="preserve">The ground floor of Chez Henri has existing salon infrastructure. As explored in the companion analysis (Ground Floor Strategic Concept Analysis, April 2026), a training academy or salon-academy hybrid is a viable concept for this space. If the training function were housed within a Quebec non-profit (OBNL), additional possibilities emerge.</w:t>
      </w:r>
    </w:p>
    <w:p>
      <w:pPr>
        <w:pStyle w:val="Heading3"/>
        <w:spacing w:after="120" w:before="200"/>
      </w:pPr>
      <w:r>
        <w:rPr>
          <w:rFonts w:ascii="Georgia" w:cs="Georgia" w:eastAsia="Georgia" w:hAnsi="Georgia"/>
          <w:b/>
          <w:bCs/>
          <w:color w:val="333333"/>
          <w:sz w:val="22"/>
          <w:szCs w:val="22"/>
        </w:rPr>
        <w:t xml:space="preserve">What Could Be Possible</w:t>
      </w:r>
    </w:p>
    <w:p>
      <w:pPr>
        <w:spacing w:after="120"/>
        <w:jc w:val="left"/>
      </w:pPr>
      <w:r>
        <w:rPr>
          <w:rFonts w:ascii="Georgia" w:cs="Georgia" w:eastAsia="Georgia" w:hAnsi="Georgia"/>
          <w:b w:val="false"/>
          <w:bCs w:val="false"/>
          <w:i w:val="false"/>
          <w:iCs w:val="false"/>
          <w:color w:val="333333"/>
          <w:sz w:val="21"/>
          <w:szCs w:val="21"/>
        </w:rPr>
        <w:t xml:space="preserve">Quebec provides significant funding for vocational training through multiple programs:</w:t>
      </w:r>
    </w:p>
    <w:p>
      <w:pPr>
        <w:pStyle w:val="ListParagraph"/>
        <w:numPr>
          <w:ilvl w:val="0"/>
          <w:numId w:val="2"/>
        </w:numPr>
        <w:spacing w:after="80"/>
      </w:pPr>
      <w:r>
        <w:rPr>
          <w:rFonts w:ascii="Georgia" w:cs="Georgia" w:eastAsia="Georgia" w:hAnsi="Georgia"/>
          <w:b/>
          <w:bCs/>
          <w:color w:val="333333"/>
          <w:sz w:val="21"/>
          <w:szCs w:val="21"/>
        </w:rPr>
        <w:t xml:space="preserve">Emploi-Québec — Mesure de formation de la main-d’œuvre (MFOR): </w:t>
      </w:r>
      <w:r>
        <w:rPr>
          <w:rFonts w:ascii="Georgia" w:cs="Georgia" w:eastAsia="Georgia" w:hAnsi="Georgia"/>
          <w:color w:val="333333"/>
          <w:sz w:val="21"/>
          <w:szCs w:val="21"/>
        </w:rPr>
        <w:t xml:space="preserve">Financial and technical assistance for skills development, including trainer costs and teaching materials.</w:t>
      </w:r>
    </w:p>
    <w:p>
      <w:pPr>
        <w:pStyle w:val="ListParagraph"/>
        <w:numPr>
          <w:ilvl w:val="0"/>
          <w:numId w:val="2"/>
        </w:numPr>
        <w:spacing w:after="80"/>
      </w:pPr>
      <w:r>
        <w:rPr>
          <w:rFonts w:ascii="Georgia" w:cs="Georgia" w:eastAsia="Georgia" w:hAnsi="Georgia"/>
          <w:b/>
          <w:bCs/>
          <w:color w:val="333333"/>
          <w:sz w:val="21"/>
          <w:szCs w:val="21"/>
        </w:rPr>
        <w:t xml:space="preserve">Commission des partenaires du marché du travail (CPMT): </w:t>
      </w:r>
      <w:r>
        <w:rPr>
          <w:rFonts w:ascii="Georgia" w:cs="Georgia" w:eastAsia="Georgia" w:hAnsi="Georgia"/>
          <w:color w:val="333333"/>
          <w:sz w:val="21"/>
          <w:szCs w:val="21"/>
        </w:rPr>
        <w:t xml:space="preserve">Provincial funds for apprenticeship and vocational training partnerships.</w:t>
      </w:r>
    </w:p>
    <w:p>
      <w:pPr>
        <w:pStyle w:val="ListParagraph"/>
        <w:numPr>
          <w:ilvl w:val="0"/>
          <w:numId w:val="2"/>
        </w:numPr>
        <w:spacing w:after="80"/>
      </w:pPr>
      <w:r>
        <w:rPr>
          <w:rFonts w:ascii="Georgia" w:cs="Georgia" w:eastAsia="Georgia" w:hAnsi="Georgia"/>
          <w:b/>
          <w:bCs/>
          <w:color w:val="333333"/>
          <w:sz w:val="21"/>
          <w:szCs w:val="21"/>
        </w:rPr>
        <w:t xml:space="preserve">Ministère de l’Éducation (MEES): </w:t>
      </w:r>
      <w:r>
        <w:rPr>
          <w:rFonts w:ascii="Georgia" w:cs="Georgia" w:eastAsia="Georgia" w:hAnsi="Georgia"/>
          <w:color w:val="333333"/>
          <w:sz w:val="21"/>
          <w:szCs w:val="21"/>
        </w:rPr>
        <w:t xml:space="preserve">If the program achieves DEP accreditation, students become eligible for provincial student financial aid, significantly expanding the addressable market.</w:t>
      </w:r>
    </w:p>
    <w:p>
      <w:pPr>
        <w:spacing w:after="80"/>
      </w:pPr>
    </w:p>
    <w:p>
      <w:pPr>
        <w:spacing w:after="120"/>
        <w:jc w:val="left"/>
      </w:pPr>
      <w:r>
        <w:rPr>
          <w:rFonts w:ascii="Georgia" w:cs="Georgia" w:eastAsia="Georgia" w:hAnsi="Georgia"/>
          <w:b w:val="false"/>
          <w:bCs w:val="false"/>
          <w:i w:val="false"/>
          <w:iCs w:val="false"/>
          <w:color w:val="333333"/>
          <w:sz w:val="21"/>
          <w:szCs w:val="21"/>
        </w:rPr>
        <w:t xml:space="preserve">A non-profit training entity operating from the Chez Henri ground floor could potentially access these funding streams while paying fair-market rent to the property. The entity would serve a genuine educational mission — training the next generation of beauty professionals in the Outaouais — while also activating the building and generating foot traffic.</w:t>
      </w:r>
    </w:p>
    <w:p>
      <w:pPr>
        <w:spacing w:after="120"/>
        <w:jc w:val="left"/>
      </w:pPr>
      <w:r>
        <w:rPr>
          <w:rFonts w:ascii="Georgia" w:cs="Georgia" w:eastAsia="Georgia" w:hAnsi="Georgia"/>
          <w:b w:val="false"/>
          <w:bCs w:val="false"/>
          <w:i w:val="false"/>
          <w:iCs w:val="false"/>
          <w:color w:val="333333"/>
          <w:sz w:val="21"/>
          <w:szCs w:val="21"/>
        </w:rPr>
        <w:t xml:space="preserve">This is not a tax scheme. It is a legitimate model used by training organizations across Quebec. Gordon Robertson Beauty Academy, for example, operates as a private training institution with government-recognized programs.</w:t>
      </w:r>
    </w:p>
    <w:p>
      <w:pPr>
        <w:spacing w:after="120"/>
      </w:pPr>
      <w:r>
        <w:rPr>
          <w:rFonts w:ascii="Georgia" w:cs="Georgia" w:eastAsia="Georgia" w:hAnsi="Georgia"/>
          <w:b/>
          <w:bCs/>
          <w:color w:val="333333"/>
          <w:sz w:val="21"/>
          <w:szCs w:val="21"/>
        </w:rPr>
        <w:t xml:space="preserve">Who validates this: </w:t>
      </w:r>
      <w:r>
        <w:rPr>
          <w:rFonts w:ascii="Georgia" w:cs="Georgia" w:eastAsia="Georgia" w:hAnsi="Georgia"/>
          <w:color w:val="333333"/>
          <w:sz w:val="21"/>
          <w:szCs w:val="21"/>
        </w:rPr>
        <w:t xml:space="preserve">An education law specialist familiar with MEES accreditation; a CPA for the non-profit structure and funding applications.</w:t>
      </w:r>
    </w:p>
    <w:p>
      <w:pPr>
        <w:pStyle w:val="Heading2"/>
        <w:spacing w:after="160" w:before="280"/>
      </w:pPr>
      <w:r>
        <w:rPr>
          <w:rFonts w:ascii="Georgia" w:cs="Georgia" w:eastAsia="Georgia" w:hAnsi="Georgia"/>
          <w:b/>
          <w:bCs/>
          <w:color w:val="1B3154"/>
          <w:sz w:val="26"/>
          <w:szCs w:val="26"/>
        </w:rPr>
        <w:t xml:space="preserve">3.5 Observation: Professional Management Could Relieve Day-to-Day Burden</w:t>
      </w:r>
    </w:p>
    <w:p>
      <w:pPr>
        <w:pStyle w:val="Heading3"/>
        <w:spacing w:after="120" w:before="200"/>
      </w:pPr>
      <w:r>
        <w:rPr>
          <w:rFonts w:ascii="Georgia" w:cs="Georgia" w:eastAsia="Georgia" w:hAnsi="Georgia"/>
          <w:b/>
          <w:bCs/>
          <w:color w:val="333333"/>
          <w:sz w:val="22"/>
          <w:szCs w:val="22"/>
        </w:rPr>
        <w:t xml:space="preserve">What I Have Observed</w:t>
      </w:r>
    </w:p>
    <w:p>
      <w:pPr>
        <w:spacing w:after="120"/>
        <w:jc w:val="left"/>
      </w:pPr>
      <w:r>
        <w:rPr>
          <w:rFonts w:ascii="Georgia" w:cs="Georgia" w:eastAsia="Georgia" w:hAnsi="Georgia"/>
          <w:b w:val="false"/>
          <w:bCs w:val="false"/>
          <w:i w:val="false"/>
          <w:iCs w:val="false"/>
          <w:color w:val="333333"/>
          <w:sz w:val="21"/>
          <w:szCs w:val="21"/>
        </w:rPr>
        <w:t xml:space="preserve">Managing a multi-sector portfolio of this size — five dealerships, multiple commercial and residential properties, active development projects, environmental disputes, government procurement processes, and community obligations — is a full-time executive function. Dr. Dormani has built this portfolio through exceptional personal effort, but the complexity grows with each new asset.</w:t>
      </w:r>
    </w:p>
    <w:p>
      <w:pPr>
        <w:pStyle w:val="Heading3"/>
        <w:spacing w:after="120" w:before="200"/>
      </w:pPr>
      <w:r>
        <w:rPr>
          <w:rFonts w:ascii="Georgia" w:cs="Georgia" w:eastAsia="Georgia" w:hAnsi="Georgia"/>
          <w:b/>
          <w:bCs/>
          <w:color w:val="333333"/>
          <w:sz w:val="22"/>
          <w:szCs w:val="22"/>
        </w:rPr>
        <w:t xml:space="preserve">What Could Be Possible</w:t>
      </w:r>
    </w:p>
    <w:p>
      <w:pPr>
        <w:spacing w:after="120"/>
        <w:jc w:val="left"/>
      </w:pPr>
      <w:r>
        <w:rPr>
          <w:rFonts w:ascii="Georgia" w:cs="Georgia" w:eastAsia="Georgia" w:hAnsi="Georgia"/>
          <w:b w:val="false"/>
          <w:bCs w:val="false"/>
          <w:i w:val="false"/>
          <w:iCs w:val="false"/>
          <w:color w:val="333333"/>
          <w:sz w:val="21"/>
          <w:szCs w:val="21"/>
        </w:rPr>
        <w:t xml:space="preserve">A professional management structure — either through an inter-company management agreement or an external advisory relationship — could provide Dr. Dormani with structured support across the portfolio without requiring him to be personally involved in every operational decision. This is the model used by most family enterprises beyond a certain scale.</w:t>
      </w:r>
    </w:p>
    <w:p>
      <w:pPr>
        <w:spacing w:after="120"/>
        <w:jc w:val="left"/>
      </w:pPr>
      <w:r>
        <w:rPr>
          <w:rFonts w:ascii="Georgia" w:cs="Georgia" w:eastAsia="Georgia" w:hAnsi="Georgia"/>
          <w:b w:val="false"/>
          <w:bCs w:val="false"/>
          <w:i w:val="false"/>
          <w:iCs w:val="false"/>
          <w:color w:val="333333"/>
          <w:sz w:val="21"/>
          <w:szCs w:val="21"/>
        </w:rPr>
        <w:t xml:space="preserve">The management function could include:</w:t>
      </w:r>
    </w:p>
    <w:p>
      <w:pPr>
        <w:pStyle w:val="ListParagraph"/>
        <w:numPr>
          <w:ilvl w:val="0"/>
          <w:numId w:val="2"/>
        </w:numPr>
        <w:spacing w:after="80"/>
      </w:pPr>
      <w:r>
        <w:rPr>
          <w:rFonts w:ascii="Georgia" w:cs="Georgia" w:eastAsia="Georgia" w:hAnsi="Georgia"/>
          <w:color w:val="333333"/>
          <w:sz w:val="21"/>
          <w:szCs w:val="21"/>
        </w:rPr>
        <w:t xml:space="preserve">Strategic oversight and coordination across all portfolio entities</w:t>
      </w:r>
    </w:p>
    <w:p>
      <w:pPr>
        <w:pStyle w:val="ListParagraph"/>
        <w:numPr>
          <w:ilvl w:val="0"/>
          <w:numId w:val="2"/>
        </w:numPr>
        <w:spacing w:after="80"/>
      </w:pPr>
      <w:r>
        <w:rPr>
          <w:rFonts w:ascii="Georgia" w:cs="Georgia" w:eastAsia="Georgia" w:hAnsi="Georgia"/>
          <w:color w:val="333333"/>
          <w:sz w:val="21"/>
          <w:szCs w:val="21"/>
        </w:rPr>
        <w:t xml:space="preserve">Tenant relations, leasing strategy, and vacancy reduction for the commercial properties</w:t>
      </w:r>
    </w:p>
    <w:p>
      <w:pPr>
        <w:pStyle w:val="ListParagraph"/>
        <w:numPr>
          <w:ilvl w:val="0"/>
          <w:numId w:val="2"/>
        </w:numPr>
        <w:spacing w:after="80"/>
      </w:pPr>
      <w:r>
        <w:rPr>
          <w:rFonts w:ascii="Georgia" w:cs="Georgia" w:eastAsia="Georgia" w:hAnsi="Georgia"/>
          <w:color w:val="333333"/>
          <w:sz w:val="21"/>
          <w:szCs w:val="21"/>
        </w:rPr>
        <w:t xml:space="preserve">Government relations and procurement monitoring (CanadaBuys, SEAO, PSPC)</w:t>
      </w:r>
    </w:p>
    <w:p>
      <w:pPr>
        <w:pStyle w:val="ListParagraph"/>
        <w:numPr>
          <w:ilvl w:val="0"/>
          <w:numId w:val="2"/>
        </w:numPr>
        <w:spacing w:after="80"/>
      </w:pPr>
      <w:r>
        <w:rPr>
          <w:rFonts w:ascii="Georgia" w:cs="Georgia" w:eastAsia="Georgia" w:hAnsi="Georgia"/>
          <w:color w:val="333333"/>
          <w:sz w:val="21"/>
          <w:szCs w:val="21"/>
        </w:rPr>
        <w:t xml:space="preserve">Development project coordination and regulatory navigation</w:t>
      </w:r>
    </w:p>
    <w:p>
      <w:pPr>
        <w:pStyle w:val="ListParagraph"/>
        <w:numPr>
          <w:ilvl w:val="0"/>
          <w:numId w:val="2"/>
        </w:numPr>
        <w:spacing w:after="80"/>
      </w:pPr>
      <w:r>
        <w:rPr>
          <w:rFonts w:ascii="Georgia" w:cs="Georgia" w:eastAsia="Georgia" w:hAnsi="Georgia"/>
          <w:color w:val="333333"/>
          <w:sz w:val="21"/>
          <w:szCs w:val="21"/>
        </w:rPr>
        <w:t xml:space="preserve">Financial reporting and KPI tracking across the portfolio</w:t>
      </w:r>
    </w:p>
    <w:p>
      <w:pPr>
        <w:pStyle w:val="ListParagraph"/>
        <w:numPr>
          <w:ilvl w:val="0"/>
          <w:numId w:val="2"/>
        </w:numPr>
        <w:spacing w:after="80"/>
      </w:pPr>
      <w:r>
        <w:rPr>
          <w:rFonts w:ascii="Georgia" w:cs="Georgia" w:eastAsia="Georgia" w:hAnsi="Georgia"/>
          <w:color w:val="333333"/>
          <w:sz w:val="21"/>
          <w:szCs w:val="21"/>
        </w:rPr>
        <w:t xml:space="preserve">Vendor and contractor management</w:t>
      </w:r>
    </w:p>
    <w:p>
      <w:pPr>
        <w:spacing w:after="80"/>
      </w:pPr>
    </w:p>
    <w:p>
      <w:pPr>
        <w:spacing w:after="120"/>
        <w:jc w:val="left"/>
      </w:pPr>
      <w:r>
        <w:rPr>
          <w:rFonts w:ascii="Georgia" w:cs="Georgia" w:eastAsia="Georgia" w:hAnsi="Georgia"/>
          <w:b w:val="false"/>
          <w:bCs w:val="false"/>
          <w:i w:val="false"/>
          <w:iCs w:val="false"/>
          <w:color w:val="333333"/>
          <w:sz w:val="21"/>
          <w:szCs w:val="21"/>
        </w:rPr>
        <w:t xml:space="preserve">Whether this function is performed internally (by a hired executive or management team), externally (by an advisory firm under a management agreement), or through some combination, the key is that it is formalized, documented, and compensated at arm’s length.</w:t>
      </w:r>
    </w:p>
    <w:p>
      <w:pPr>
        <w:spacing w:after="120"/>
      </w:pPr>
      <w:r>
        <w:rPr>
          <w:rFonts w:ascii="Georgia" w:cs="Georgia" w:eastAsia="Georgia" w:hAnsi="Georgia"/>
          <w:b/>
          <w:bCs/>
          <w:color w:val="333333"/>
          <w:sz w:val="21"/>
          <w:szCs w:val="21"/>
        </w:rPr>
        <w:t xml:space="preserve">Who validates this: </w:t>
      </w:r>
      <w:r>
        <w:rPr>
          <w:rFonts w:ascii="Georgia" w:cs="Georgia" w:eastAsia="Georgia" w:hAnsi="Georgia"/>
          <w:color w:val="333333"/>
          <w:sz w:val="21"/>
          <w:szCs w:val="21"/>
        </w:rPr>
        <w:t xml:space="preserve">The structure of a management agreement is a legal and tax question. The decision of whether to formalize it is a strategic one.</w:t>
      </w:r>
    </w:p>
    <w:p>
      <w:r>
        <w:br w:type="page"/>
      </w:r>
    </w:p>
    <w:p>
      <w:pPr>
        <w:pStyle w:val="Heading1"/>
        <w:spacing w:after="200" w:before="360"/>
      </w:pPr>
      <w:r>
        <w:rPr>
          <w:rFonts w:ascii="Georgia" w:cs="Georgia" w:eastAsia="Georgia" w:hAnsi="Georgia"/>
          <w:b/>
          <w:bCs/>
          <w:color w:val="0F1A2B"/>
          <w:sz w:val="32"/>
          <w:szCs w:val="32"/>
        </w:rPr>
        <w:t xml:space="preserve">4. How These Pieces Could Fit Together</w:t>
      </w:r>
    </w:p>
    <w:p>
      <w:pPr>
        <w:spacing w:after="120"/>
        <w:jc w:val="left"/>
      </w:pPr>
      <w:r>
        <w:rPr>
          <w:rFonts w:ascii="Georgia" w:cs="Georgia" w:eastAsia="Georgia" w:hAnsi="Georgia"/>
          <w:b w:val="false"/>
          <w:bCs w:val="false"/>
          <w:i w:val="false"/>
          <w:iCs w:val="false"/>
          <w:color w:val="333333"/>
          <w:sz w:val="21"/>
          <w:szCs w:val="21"/>
        </w:rPr>
        <w:t xml:space="preserve">Each observation above stands on its own. But the real strategic value emerges when they are considered as a system. Here is one illustration of how the pieces might connect — presented not as a plan, but as a picture of what could be possible if the right professionals confirm the viability of each element.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560"/>
        <w:gridCol w:w="2200"/>
      </w:tblGrid>
      <w:tr>
        <w:trPr>
          <w:tblHeader/>
        </w:trPr>
        <w:tc>
          <w:tcPr>
            <w:tcW w:type="dxa" w:w="15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Layer</w:t>
            </w:r>
          </w:p>
        </w:tc>
        <w:tc>
          <w:tcPr>
            <w:tcW w:type="dxa" w:w="21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Structure</w:t>
            </w:r>
          </w:p>
        </w:tc>
        <w:tc>
          <w:tcPr>
            <w:tcW w:type="dxa" w:w="356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Function</w:t>
            </w:r>
          </w:p>
        </w:tc>
        <w:tc>
          <w:tcPr>
            <w:tcW w:type="dxa" w:w="22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Location</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1. Wealth Holding</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Family Trust (Fiducie)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Holds shares in HoldCo; manages intergenerational transfer; income distribution to beneficiaries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Legal entity (no physical location)</w:t>
            </w:r>
          </w:p>
        </w:tc>
      </w:tr>
      <w:tr>
        <w:tc>
          <w:tcPr>
            <w:tcW w:type="dxa" w:w="1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2. Asset Holding</w:t>
            </w:r>
          </w:p>
        </w:tc>
        <w:tc>
          <w:tcPr>
            <w:tcW w:type="dxa" w:w="21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HoldCo (Holding Company)</w:t>
            </w:r>
          </w:p>
        </w:tc>
        <w:tc>
          <w:tcPr>
            <w:tcW w:type="dxa" w:w="35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Owns all real estate; receives rent from OpCos; holds passive investments; insulated from operational liability</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Corporate office at 179 or 191 Promenade du Portage</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3. Automotive Operations</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OpCo — Auto (one or more)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Operates dealerships; pays rent to HoldCo for dealership premises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1185 Boul. la Vérendrye + other locations</w:t>
            </w:r>
          </w:p>
        </w:tc>
      </w:tr>
      <w:tr>
        <w:tc>
          <w:tcPr>
            <w:tcW w:type="dxa" w:w="1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4. Property Management</w:t>
            </w:r>
          </w:p>
        </w:tc>
        <w:tc>
          <w:tcPr>
            <w:tcW w:type="dxa" w:w="21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OpCo — Property Mgmt</w:t>
            </w:r>
          </w:p>
        </w:tc>
        <w:tc>
          <w:tcPr>
            <w:tcW w:type="dxa" w:w="35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Manages residential and commercial properties; leasing, maintenance, tenant relations</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179 Promenade du Portage</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5. Development</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OpCo — Development</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Manages La Cité Phase 2, Chelsea, and future projects; isolated from other operations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Project-specific</w:t>
            </w:r>
          </w:p>
        </w:tc>
      </w:tr>
      <w:tr>
        <w:tc>
          <w:tcPr>
            <w:tcW w:type="dxa" w:w="1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6. Community/Education</w:t>
            </w:r>
          </w:p>
        </w:tc>
        <w:tc>
          <w:tcPr>
            <w:tcW w:type="dxa" w:w="21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Non-Profit (OBNL)</w:t>
            </w:r>
          </w:p>
        </w:tc>
        <w:tc>
          <w:tcPr>
            <w:tcW w:type="dxa" w:w="35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Operates training programs, community initiatives; accesses government funding; pays FMV rent</w:t>
            </w:r>
          </w:p>
        </w:tc>
        <w:tc>
          <w:tcPr>
            <w:tcW w:type="dxa" w:w="2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Ground floor, 179 Promenade du Portage</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7. Advisory / Management</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Management Agreement</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Provides strategic oversight, coordination, government relations across the portfolio</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External or internal</w:t>
            </w:r>
          </w:p>
        </w:tc>
      </w:tr>
    </w:tbl>
    <w:p>
      <w:pPr>
        <w:spacing w:after="80"/>
      </w:pPr>
    </w:p>
    <w:p>
      <w:pPr>
        <w:spacing w:after="120"/>
        <w:jc w:val="left"/>
      </w:pPr>
      <w:r>
        <w:rPr>
          <w:rFonts w:ascii="Georgia" w:cs="Georgia" w:eastAsia="Georgia" w:hAnsi="Georgia"/>
          <w:b w:val="false"/>
          <w:bCs w:val="false"/>
          <w:i w:val="false"/>
          <w:iCs w:val="false"/>
          <w:color w:val="333333"/>
          <w:sz w:val="21"/>
          <w:szCs w:val="21"/>
        </w:rPr>
        <w:t xml:space="preserve">In this illustration, every entity serves a legitimate business purpose. Every transaction between entities occurs at fair market value. The real estate is protected from operational liabilities. The family’s wealth transfers efficiently across generations. And the vacant commercial properties at 179 and 191 Promenade du Portage become home to entities that are part of the Dormani ecosystem — generating real rent, real activity, and real value.</w:t>
      </w:r>
    </w:p>
    <w:p>
      <w:pPr>
        <w:spacing w:after="120"/>
        <w:jc w:val="left"/>
      </w:pPr>
      <w:r>
        <w:rPr>
          <w:rFonts w:ascii="Georgia" w:cs="Georgia" w:eastAsia="Georgia" w:hAnsi="Georgia"/>
          <w:b w:val="false"/>
          <w:bCs w:val="false"/>
          <w:i w:val="false"/>
          <w:iCs w:val="false"/>
          <w:color w:val="333333"/>
          <w:sz w:val="21"/>
          <w:szCs w:val="21"/>
        </w:rPr>
        <w:t xml:space="preserve">Again: this is a picture, not a plan. Every element requires professional validation before it could be implemented. But this is the kind of integrated thinking that separates a collection of assets from a strategically managed family enterprise.</w:t>
      </w:r>
    </w:p>
    <w:p>
      <w:r>
        <w:br w:type="page"/>
      </w:r>
    </w:p>
    <w:p>
      <w:pPr>
        <w:pStyle w:val="Heading1"/>
        <w:spacing w:after="200" w:before="360"/>
      </w:pPr>
      <w:r>
        <w:rPr>
          <w:rFonts w:ascii="Georgia" w:cs="Georgia" w:eastAsia="Georgia" w:hAnsi="Georgia"/>
          <w:b/>
          <w:bCs/>
          <w:color w:val="0F1A2B"/>
          <w:sz w:val="32"/>
          <w:szCs w:val="32"/>
        </w:rPr>
        <w:t xml:space="preserve">5. What Exploring These Ideas Would Require</w:t>
      </w:r>
    </w:p>
    <w:p>
      <w:pPr>
        <w:spacing w:after="120"/>
        <w:jc w:val="left"/>
      </w:pPr>
      <w:r>
        <w:rPr>
          <w:rFonts w:ascii="Georgia" w:cs="Georgia" w:eastAsia="Georgia" w:hAnsi="Georgia"/>
          <w:b w:val="false"/>
          <w:bCs w:val="false"/>
          <w:i w:val="false"/>
          <w:iCs w:val="false"/>
          <w:color w:val="333333"/>
          <w:sz w:val="21"/>
          <w:szCs w:val="21"/>
        </w:rPr>
        <w:t xml:space="preserve">If any of these observations are of interest, the path forward is a structured validation process. This is not something that should be rushed or done piecemeal. The right approach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60"/>
        <w:gridCol w:w="2800"/>
      </w:tblGrid>
      <w:tr>
        <w:trPr>
          <w:tblHeader/>
        </w:trPr>
        <w:tc>
          <w:tcPr>
            <w:tcW w:type="dxa" w:w="5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Step</w:t>
            </w:r>
          </w:p>
        </w:tc>
        <w:tc>
          <w:tcPr>
            <w:tcW w:type="dxa" w:w="35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Action</w:t>
            </w:r>
          </w:p>
        </w:tc>
        <w:tc>
          <w:tcPr>
            <w:tcW w:type="dxa" w:w="256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Professional Required</w:t>
            </w:r>
          </w:p>
        </w:tc>
        <w:tc>
          <w:tcPr>
            <w:tcW w:type="dxa" w:w="28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Estimated Cost</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1</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Current structure review: map all existing corporate entities, ownership, and inter-company arrangements</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CPA + corporate lawyer</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$3,000–$5,000</w:t>
            </w:r>
          </w:p>
        </w:tc>
      </w:tr>
      <w:tr>
        <w:tc>
          <w:tcPr>
            <w:tcW w:type="dxa" w:w="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2</w:t>
            </w:r>
          </w:p>
        </w:tc>
        <w:tc>
          <w:tcPr>
            <w:tcW w:type="dxa" w:w="3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Gap analysis: identify what structure exists vs. what could be optimized</w:t>
            </w:r>
          </w:p>
        </w:tc>
        <w:tc>
          <w:tcPr>
            <w:tcW w:type="dxa" w:w="25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CPA (tax specialist)</w:t>
            </w:r>
          </w:p>
        </w:tc>
        <w:tc>
          <w:tcPr>
            <w:tcW w:type="dxa" w:w="2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$2,000–$4,000</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3</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HoldCo/OpCo design: if restructuring is warranted, design the target architecture</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Corporate tax lawyer + CPA</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$10,000–$20,000</w:t>
            </w:r>
          </w:p>
        </w:tc>
      </w:tr>
      <w:tr>
        <w:tc>
          <w:tcPr>
            <w:tcW w:type="dxa" w:w="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4</w:t>
            </w:r>
          </w:p>
        </w:tc>
        <w:tc>
          <w:tcPr>
            <w:tcW w:type="dxa" w:w="3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Family trust evaluation: assess whether a fiducie serves the family’s succession goals</w:t>
            </w:r>
          </w:p>
        </w:tc>
        <w:tc>
          <w:tcPr>
            <w:tcW w:type="dxa" w:w="25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Notaire + tax advisor</w:t>
            </w:r>
          </w:p>
        </w:tc>
        <w:tc>
          <w:tcPr>
            <w:tcW w:type="dxa" w:w="2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$5,000–$10,000</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5</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Non-profit feasibility: determine if an OBNL for education/training is viable and fundable</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Education lawyer + CPA</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$3,000–$5,000</w:t>
            </w:r>
          </w:p>
        </w:tc>
      </w:tr>
      <w:tr>
        <w:tc>
          <w:tcPr>
            <w:tcW w:type="dxa" w:w="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6</w:t>
            </w:r>
          </w:p>
        </w:tc>
        <w:tc>
          <w:tcPr>
            <w:tcW w:type="dxa" w:w="3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Implementation: execute the restructuring, trust creation, and entity formation</w:t>
            </w:r>
          </w:p>
        </w:tc>
        <w:tc>
          <w:tcPr>
            <w:tcW w:type="dxa" w:w="25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Full professional team</w:t>
            </w:r>
          </w:p>
        </w:tc>
        <w:tc>
          <w:tcPr>
            <w:tcW w:type="dxa" w:w="2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$15,000–$30,000</w:t>
            </w:r>
          </w:p>
        </w:tc>
      </w:tr>
    </w:tbl>
    <w:p>
      <w:pPr>
        <w:spacing w:after="80"/>
      </w:pPr>
    </w:p>
    <w:p>
      <w:pPr>
        <w:spacing w:after="120"/>
        <w:jc w:val="left"/>
      </w:pPr>
      <w:r>
        <w:rPr>
          <w:rFonts w:ascii="Georgia" w:cs="Georgia" w:eastAsia="Georgia" w:hAnsi="Georgia"/>
          <w:b w:val="false"/>
          <w:bCs w:val="false"/>
          <w:i w:val="false"/>
          <w:iCs w:val="false"/>
          <w:color w:val="333333"/>
          <w:sz w:val="21"/>
          <w:szCs w:val="21"/>
        </w:rPr>
        <w:t xml:space="preserve">Total estimated cost for a comprehensive review and implementation: $38,000–$74,000. This is a material investment, but it is proportional to a portfolio of this scale and could generate returns through tax savings, liability protection, and succession efficiency that far exceed the cost.</w:t>
      </w:r>
    </w:p>
    <w:p>
      <w:pPr>
        <w:spacing w:after="120"/>
        <w:jc w:val="left"/>
      </w:pPr>
      <w:r>
        <w:rPr>
          <w:rFonts w:ascii="Georgia" w:cs="Georgia" w:eastAsia="Georgia" w:hAnsi="Georgia"/>
          <w:b w:val="false"/>
          <w:bCs w:val="false"/>
          <w:i w:val="false"/>
          <w:iCs w:val="false"/>
          <w:color w:val="333333"/>
          <w:sz w:val="21"/>
          <w:szCs w:val="21"/>
        </w:rPr>
        <w:t xml:space="preserve">This work would not need to happen all at once. Steps 1 and 2 alone would provide significant clarity and could be completed within 30–60 days for under $10,000.</w:t>
      </w:r>
    </w:p>
    <w:p>
      <w:r>
        <w:br w:type="page"/>
      </w:r>
    </w:p>
    <w:p>
      <w:pPr>
        <w:pStyle w:val="Heading1"/>
        <w:spacing w:after="200" w:before="360"/>
      </w:pPr>
      <w:r>
        <w:rPr>
          <w:rFonts w:ascii="Georgia" w:cs="Georgia" w:eastAsia="Georgia" w:hAnsi="Georgia"/>
          <w:b/>
          <w:bCs/>
          <w:color w:val="0F1A2B"/>
          <w:sz w:val="32"/>
          <w:szCs w:val="32"/>
        </w:rPr>
        <w:t xml:space="preserve">6. Where I Fit In This Picture</w:t>
      </w:r>
    </w:p>
    <w:p>
      <w:pPr>
        <w:spacing w:after="120"/>
        <w:jc w:val="left"/>
      </w:pPr>
      <w:r>
        <w:rPr>
          <w:rFonts w:ascii="Georgia" w:cs="Georgia" w:eastAsia="Georgia" w:hAnsi="Georgia"/>
          <w:b w:val="false"/>
          <w:bCs w:val="false"/>
          <w:i w:val="false"/>
          <w:iCs w:val="false"/>
          <w:color w:val="333333"/>
          <w:sz w:val="21"/>
          <w:szCs w:val="21"/>
        </w:rPr>
        <w:t xml:space="preserve">I want to be transparent about my perspective. My mandate from you is to help with leasing your properties on Promenade du Portage. That is the work I am doing, and I will continue to do it with the same diligence and focus regardless of whether these broader observations interest you.</w:t>
      </w:r>
    </w:p>
    <w:p>
      <w:pPr>
        <w:spacing w:after="120"/>
        <w:jc w:val="left"/>
      </w:pPr>
      <w:r>
        <w:rPr>
          <w:rFonts w:ascii="Georgia" w:cs="Georgia" w:eastAsia="Georgia" w:hAnsi="Georgia"/>
          <w:b w:val="false"/>
          <w:bCs w:val="false"/>
          <w:i w:val="false"/>
          <w:iCs w:val="false"/>
          <w:color w:val="333333"/>
          <w:sz w:val="21"/>
          <w:szCs w:val="21"/>
        </w:rPr>
        <w:t xml:space="preserve">However, as an administrateur agréé — a designation that authorizes the practice of management advisory services under Quebec’s Professional Code — this kind of cross-jurisdictional, cross-functional strategic thinking is central to what I do. It is my training and my instinct to look beyond the immediate task and ask: What is the system? What are the connections? What is being left on the table?</w:t>
      </w:r>
    </w:p>
    <w:p>
      <w:pPr>
        <w:spacing w:after="120"/>
        <w:jc w:val="left"/>
      </w:pPr>
      <w:r>
        <w:rPr>
          <w:rFonts w:ascii="Georgia" w:cs="Georgia" w:eastAsia="Georgia" w:hAnsi="Georgia"/>
          <w:b w:val="false"/>
          <w:bCs w:val="false"/>
          <w:i w:val="false"/>
          <w:iCs w:val="false"/>
          <w:color w:val="333333"/>
          <w:sz w:val="21"/>
          <w:szCs w:val="21"/>
        </w:rPr>
        <w:t xml:space="preserve">If you see value in exploring any of these ideas, I can play a coordinating role: identifying the right professionals, framing the questions, managing the process, and ensuring that the work stays aligned with your strategic interests. This is the kind of mandate I am building my practice around — serving as a strategic sounding board for business owners who have built something significant and want to ensure it is protected, optimized, and positioned for the next generation.</w:t>
      </w:r>
    </w:p>
    <w:p>
      <w:pPr>
        <w:spacing w:after="120"/>
        <w:jc w:val="left"/>
      </w:pPr>
      <w:r>
        <w:rPr>
          <w:rFonts w:ascii="Georgia" w:cs="Georgia" w:eastAsia="Georgia" w:hAnsi="Georgia"/>
          <w:b w:val="false"/>
          <w:bCs w:val="false"/>
          <w:i w:val="false"/>
          <w:iCs w:val="false"/>
          <w:color w:val="333333"/>
          <w:sz w:val="21"/>
          <w:szCs w:val="21"/>
        </w:rPr>
        <w:t xml:space="preserve">But that is entirely your decision. These observations are offered in the spirit of adding value, not expanding scope. I will follow your lead.</w:t>
      </w:r>
    </w:p>
    <w:p>
      <w:pPr>
        <w:pBdr>
          <w:bottom w:val="single" w:color="C6A25A" w:sz="6" w:space="1"/>
        </w:pBdr>
        <w:spacing w:after="200" w:before="200"/>
      </w:pPr>
    </w:p>
    <w:p>
      <w:pPr>
        <w:pStyle w:val="Heading1"/>
        <w:spacing w:after="200" w:before="360"/>
      </w:pPr>
      <w:r>
        <w:rPr>
          <w:rFonts w:ascii="Georgia" w:cs="Georgia" w:eastAsia="Georgia" w:hAnsi="Georgia"/>
          <w:b/>
          <w:bCs/>
          <w:color w:val="0F1A2B"/>
          <w:sz w:val="32"/>
          <w:szCs w:val="32"/>
        </w:rPr>
        <w:t xml:space="preserve">7. Summary of Observations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3160"/>
      </w:tblGrid>
      <w:tr>
        <w:trPr>
          <w:tblHeader/>
        </w:trPr>
        <w:tc>
          <w:tcPr>
            <w:tcW w:type="dxa" w:w="4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Observation</w:t>
            </w:r>
          </w:p>
        </w:tc>
        <w:tc>
          <w:tcPr>
            <w:tcW w:type="dxa" w:w="320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Potential Benefit</w:t>
            </w:r>
          </w:p>
        </w:tc>
        <w:tc>
          <w:tcPr>
            <w:tcW w:type="dxa" w:w="3160"/>
            <w:tcBorders>
              <w:top w:val="single" w:color="CCCCCC" w:sz="1"/>
              <w:left w:val="single" w:color="CCCCCC" w:sz="1"/>
              <w:bottom w:val="single" w:color="CCCCCC" w:sz="1"/>
              <w:right w:val="single" w:color="CCCCCC" w:sz="1"/>
            </w:tcBorders>
            <w:shd w:fill="0F1A2B" w:val="clear"/>
            <w:tcMar>
              <w:top w:type="dxa" w:w="60"/>
              <w:left w:type="dxa" w:w="100"/>
              <w:bottom w:type="dxa" w:w="60"/>
              <w:right w:type="dxa" w:w="100"/>
            </w:tcMar>
          </w:tcPr>
          <w:p>
            <w:r>
              <w:rPr>
                <w:rFonts w:ascii="Georgia" w:cs="Georgia" w:eastAsia="Georgia" w:hAnsi="Georgia"/>
                <w:b/>
                <w:bCs/>
                <w:color w:val="FFFFFF"/>
                <w:sz w:val="19"/>
                <w:szCs w:val="19"/>
              </w:rPr>
              <w:t xml:space="preserve">Next Step</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1</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HoldCo/OpCo architecture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Asset protection; tax efficiency; succession flexibility</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Current structure review with CPA</w:t>
            </w:r>
          </w:p>
        </w:tc>
      </w:tr>
      <w:tr>
        <w:tc>
          <w:tcPr>
            <w:tcW w:type="dxa" w:w="4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2</w:t>
            </w:r>
          </w:p>
        </w:tc>
        <w:tc>
          <w:tcPr>
            <w:tcW w:type="dxa" w:w="26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Family trust (fiducie)</w:t>
            </w:r>
          </w:p>
        </w:tc>
        <w:tc>
          <w:tcPr>
            <w:tcW w:type="dxa" w:w="3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Intergenerational transfer; income splitting; estate continuity</w:t>
            </w:r>
          </w:p>
        </w:tc>
        <w:tc>
          <w:tcPr>
            <w:tcW w:type="dxa" w:w="31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Evaluation with notaire + tax advisor</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3</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Portfolio entities as tenants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Activate vacant space; legitimate rent; institutional image</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Map which functions could relocate</w:t>
            </w:r>
          </w:p>
        </w:tc>
      </w:tr>
      <w:tr>
        <w:tc>
          <w:tcPr>
            <w:tcW w:type="dxa" w:w="4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bCs/>
                <w:color w:val="333333"/>
                <w:sz w:val="19"/>
                <w:szCs w:val="19"/>
              </w:rPr>
              <w:t xml:space="preserve">4</w:t>
            </w:r>
          </w:p>
        </w:tc>
        <w:tc>
          <w:tcPr>
            <w:tcW w:type="dxa" w:w="26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Non-profit education entity</w:t>
            </w:r>
          </w:p>
        </w:tc>
        <w:tc>
          <w:tcPr>
            <w:tcW w:type="dxa" w:w="32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Access government funding; community benefit; building activation</w:t>
            </w:r>
          </w:p>
        </w:tc>
        <w:tc>
          <w:tcPr>
            <w:tcW w:type="dxa" w:w="31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Georgia" w:cs="Georgia" w:eastAsia="Georgia" w:hAnsi="Georgia"/>
                <w:b w:val="false"/>
                <w:bCs w:val="false"/>
                <w:color w:val="333333"/>
                <w:sz w:val="19"/>
                <w:szCs w:val="19"/>
              </w:rPr>
              <w:t xml:space="preserve">Feasibility assessment (education lawyer + CPA)</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33333"/>
                <w:sz w:val="19"/>
                <w:szCs w:val="19"/>
              </w:rPr>
              <w:t xml:space="preserve">5</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Professional management structure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Reduce personal burden; formalize coordination; scalability</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33333"/>
                <w:sz w:val="19"/>
                <w:szCs w:val="19"/>
              </w:rPr>
              <w:t xml:space="preserve">Decision on scope and structure</w:t>
            </w:r>
          </w:p>
        </w:tc>
      </w:tr>
    </w:tbl>
    <w:p>
      <w:pPr>
        <w:spacing w:after="80"/>
      </w:pPr>
    </w:p>
    <w:p>
      <w:pPr>
        <w:pBdr>
          <w:bottom w:val="single" w:color="C6A25A" w:sz="6" w:space="1"/>
        </w:pBdr>
        <w:spacing w:after="200" w:before="200"/>
      </w:pPr>
    </w:p>
    <w:p>
      <w:pPr>
        <w:spacing w:before="200"/>
        <w:jc w:val="center"/>
      </w:pPr>
      <w:r>
        <w:rPr>
          <w:rFonts w:ascii="Georgia" w:cs="Georgia" w:eastAsia="Georgia" w:hAnsi="Georgia"/>
          <w:i/>
          <w:iCs/>
          <w:color w:val="333333"/>
          <w:sz w:val="22"/>
          <w:szCs w:val="22"/>
        </w:rPr>
        <w:t xml:space="preserve">I am available to discuss these observations at your convenience.</w:t>
      </w:r>
    </w:p>
    <w:p>
      <w:pPr>
        <w:spacing w:after="80"/>
      </w:pPr>
    </w:p>
    <w:p>
      <w:pPr>
        <w:jc w:val="center"/>
      </w:pPr>
      <w:r>
        <w:rPr>
          <w:rFonts w:ascii="Georgia" w:cs="Georgia" w:eastAsia="Georgia" w:hAnsi="Georgia"/>
          <w:b/>
          <w:bCs/>
          <w:color w:val="333333"/>
          <w:sz w:val="22"/>
          <w:szCs w:val="22"/>
        </w:rPr>
        <w:t xml:space="preserve">Joseph Soares, MBA, PMP, Adm.A., ACC</w:t>
      </w:r>
    </w:p>
    <w:p>
      <w:pPr>
        <w:spacing w:after="80"/>
        <w:jc w:val="center"/>
      </w:pPr>
      <w:r>
        <w:rPr>
          <w:rFonts w:ascii="Georgia" w:cs="Georgia" w:eastAsia="Georgia" w:hAnsi="Georgia"/>
          <w:color w:val="666666"/>
          <w:sz w:val="20"/>
          <w:szCs w:val="20"/>
        </w:rPr>
        <w:t xml:space="preserve">IBPROM Corp — j@josephsoares.com — josephsoares.com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CONFIDENTIAL — IBPROM Corp —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A25A" w:sz="4" w:space="4"/>
      </w:pBdr>
      <w:jc w:val="right"/>
    </w:pPr>
    <w:r>
      <w:rPr>
        <w:rFonts w:ascii="Georgia" w:cs="Georgia" w:eastAsia="Georgia" w:hAnsi="Georgia"/>
        <w:i/>
        <w:iCs/>
        <w:color w:val="666666"/>
        <w:sz w:val="16"/>
        <w:szCs w:val="16"/>
      </w:rPr>
      <w:t xml:space="preserve">Strategic Considerations — Dormani Portfolio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F1A2B"/>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1B3154"/>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2026-04-11T14:59:20.498Z</dcterms:created>
  <dcterms:modified xsi:type="dcterms:W3CDTF">2026-04-11T14:59:20.498Z</dcterms:modified>
</cp:coreProperties>
</file>

<file path=docProps/custom.xml><?xml version="1.0" encoding="utf-8"?>
<Properties xmlns="http://schemas.openxmlformats.org/officeDocument/2006/custom-properties" xmlns:vt="http://schemas.openxmlformats.org/officeDocument/2006/docPropsVTypes"/>
</file>