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rPr>
          <w:sz w:val="2"/>
          <w:szCs w:val="2"/>
        </w:rPr>
        <w:t xml:space="preserve"/>
      </w:r>
    </w:p>
    <w:p>
      <w:pPr>
        <w:spacing w:after="200"/>
      </w:pPr>
    </w:p>
    <w:p>
      <w:pPr>
        <w:spacing w:after="200"/>
      </w:pPr>
    </w:p>
    <w:p>
      <w:pPr>
        <w:spacing w:after="200"/>
      </w:pPr>
    </w:p>
    <w:p>
      <w:pPr>
        <w:spacing w:after="200"/>
      </w:pPr>
    </w:p>
    <w:p>
      <w:pPr>
        <w:spacing w:after="200"/>
      </w:pPr>
    </w:p>
    <w:p>
      <w:pPr>
        <w:spacing w:after="200"/>
      </w:pPr>
    </w:p>
    <w:p>
      <w:pPr>
        <w:spacing w:after="200"/>
      </w:pPr>
    </w:p>
    <w:p>
      <w:pPr>
        <w:spacing w:after="200"/>
      </w:pPr>
    </w:p>
    <w:p>
      <w:pPr>
        <w:spacing w:after="100"/>
        <w:jc w:val="center"/>
      </w:pPr>
      <w:r>
        <w:rPr>
          <w:rFonts w:ascii="Georgia" w:cs="Georgia" w:eastAsia="Georgia" w:hAnsi="Georgia"/>
          <w:b/>
          <w:bCs/>
          <w:color w:val="0C1A2E"/>
          <w:sz w:val="40"/>
          <w:szCs w:val="40"/>
        </w:rPr>
        <w:t xml:space="preserve">CONSULTING SERVICES PROPOSAL</w:t>
      </w:r>
    </w:p>
    <w:p>
      <w:pPr>
        <w:spacing w:after="60"/>
        <w:jc w:val="center"/>
      </w:pPr>
      <w:r>
        <w:rPr>
          <w:rFonts w:ascii="Georgia" w:cs="Georgia" w:eastAsia="Georgia" w:hAnsi="Georgia"/>
          <w:color w:val="C9A84C"/>
          <w:sz w:val="36"/>
          <w:szCs w:val="36"/>
        </w:rPr>
        <w:t xml:space="preserve">—</w:t>
      </w:r>
    </w:p>
    <w:p>
      <w:pPr>
        <w:spacing w:after="200"/>
        <w:jc w:val="center"/>
      </w:pPr>
      <w:r>
        <w:rPr>
          <w:rFonts w:ascii="Georgia" w:cs="Georgia" w:eastAsia="Georgia" w:hAnsi="Georgia"/>
          <w:color w:val="3A4A5C"/>
          <w:sz w:val="28"/>
          <w:szCs w:val="28"/>
        </w:rPr>
        <w:t xml:space="preserve">Hybrid Salon-Academy Feasibility Study</w:t>
      </w:r>
    </w:p>
    <w:p>
      <w:pPr>
        <w:spacing w:after="100"/>
        <w:jc w:val="center"/>
      </w:pPr>
      <w:r>
        <w:rPr>
          <w:rFonts w:ascii="Georgia" w:cs="Georgia" w:eastAsia="Georgia" w:hAnsi="Georgia"/>
          <w:color w:val="3A4A5C"/>
          <w:sz w:val="24"/>
          <w:szCs w:val="24"/>
        </w:rPr>
        <w:t xml:space="preserve">Strategic Advisory &amp; Grant Application Support</w:t>
      </w:r>
    </w:p>
    <w:p>
      <w:pPr>
        <w:spacing w:after="200"/>
      </w:pPr>
    </w:p>
    <w:p>
      <w:pPr>
        <w:spacing w:after="200"/>
      </w:pPr>
    </w:p>
    <w:p>
      <w:pPr>
        <w:spacing w:after="200"/>
      </w:pPr>
    </w:p>
    <w:p>
      <w:pPr>
        <w:spacing w:after="200"/>
      </w:pPr>
    </w:p>
    <w:p>
      <w:pPr>
        <w:pBdr>
          <w:bottom w:val="single" w:color="C9A84C" w:sz="6" w:space="1"/>
        </w:pBdr>
        <w:spacing w:after="200" w:before="200"/>
        <w:jc w:val="center"/>
      </w:pPr>
    </w:p>
    <w:p>
      <w:pPr>
        <w:spacing w:after="60"/>
        <w:jc w:val="center"/>
      </w:pPr>
      <w:r>
        <w:rPr>
          <w:rFonts w:ascii="Georgia" w:cs="Georgia" w:eastAsia="Georgia" w:hAnsi="Georgia"/>
          <w:i/>
          <w:iCs/>
          <w:color w:val="3A4A5C"/>
          <w:sz w:val="20"/>
          <w:szCs w:val="20"/>
        </w:rPr>
        <w:t xml:space="preserve">Prepared for</w:t>
      </w:r>
    </w:p>
    <w:p>
      <w:pPr>
        <w:spacing w:after="200"/>
        <w:jc w:val="center"/>
      </w:pPr>
      <w:r>
        <w:rPr>
          <w:rFonts w:ascii="Georgia" w:cs="Georgia" w:eastAsia="Georgia" w:hAnsi="Georgia"/>
          <w:b/>
          <w:bCs/>
          <w:color w:val="0C1A2E"/>
          <w:sz w:val="26"/>
          <w:szCs w:val="26"/>
        </w:rPr>
        <w:t xml:space="preserve">Dr. Nader Dormani</w:t>
      </w:r>
    </w:p>
    <w:p>
      <w:pPr>
        <w:spacing w:after="200"/>
      </w:pPr>
    </w:p>
    <w:p>
      <w:pPr>
        <w:spacing w:after="60"/>
        <w:jc w:val="center"/>
      </w:pPr>
      <w:r>
        <w:rPr>
          <w:rFonts w:ascii="Georgia" w:cs="Georgia" w:eastAsia="Georgia" w:hAnsi="Georgia"/>
          <w:i/>
          <w:iCs/>
          <w:color w:val="3A4A5C"/>
          <w:sz w:val="20"/>
          <w:szCs w:val="20"/>
        </w:rPr>
        <w:t xml:space="preserve">Prepared by</w:t>
      </w:r>
    </w:p>
    <w:p>
      <w:pPr>
        <w:spacing w:after="60"/>
        <w:jc w:val="center"/>
      </w:pPr>
      <w:r>
        <w:rPr>
          <w:rFonts w:ascii="Georgia" w:cs="Georgia" w:eastAsia="Georgia" w:hAnsi="Georgia"/>
          <w:b/>
          <w:bCs/>
          <w:color w:val="0C1A2E"/>
          <w:sz w:val="24"/>
          <w:szCs w:val="24"/>
        </w:rPr>
        <w:t xml:space="preserve">Joseph Soares, MBA, Adm.A., PMP</w:t>
      </w:r>
    </w:p>
    <w:p>
      <w:pPr>
        <w:spacing w:after="60"/>
        <w:jc w:val="center"/>
      </w:pPr>
      <w:r>
        <w:rPr>
          <w:rFonts w:ascii="Georgia" w:cs="Georgia" w:eastAsia="Georgia" w:hAnsi="Georgia"/>
          <w:color w:val="3A4A5C"/>
          <w:sz w:val="20"/>
          <w:szCs w:val="20"/>
        </w:rPr>
        <w:t xml:space="preserve">President, IBPROM Corp</w:t>
      </w:r>
    </w:p>
    <w:p>
      <w:pPr>
        <w:spacing w:after="200"/>
        <w:jc w:val="center"/>
      </w:pPr>
      <w:r>
        <w:rPr>
          <w:rFonts w:ascii="Georgia" w:cs="Georgia" w:eastAsia="Georgia" w:hAnsi="Georgia"/>
          <w:color w:val="3A4A5C"/>
          <w:sz w:val="20"/>
          <w:szCs w:val="20"/>
        </w:rPr>
        <w:t xml:space="preserve">j@josephsoares.com</w:t>
      </w:r>
    </w:p>
    <w:p>
      <w:pPr>
        <w:spacing w:after="200"/>
      </w:pPr>
    </w:p>
    <w:p>
      <w:pPr>
        <w:spacing w:after="200"/>
      </w:pPr>
    </w:p>
    <w:p>
      <w:pPr>
        <w:spacing w:after="200"/>
      </w:pPr>
    </w:p>
    <w:p>
      <w:pPr>
        <w:spacing w:after="0"/>
        <w:jc w:val="center"/>
      </w:pPr>
      <w:r>
        <w:rPr>
          <w:rFonts w:ascii="Georgia" w:cs="Georgia" w:eastAsia="Georgia" w:hAnsi="Georgia"/>
          <w:color w:val="3A4A5C"/>
          <w:sz w:val="20"/>
          <w:szCs w:val="20"/>
        </w:rPr>
        <w:t xml:space="preserve">April 11, 2026</w:t>
      </w:r>
    </w:p>
    <w:p>
      <w:pPr>
        <w:spacing w:after="0"/>
        <w:jc w:val="center"/>
      </w:pPr>
      <w:r>
        <w:rPr>
          <w:rFonts w:ascii="Georgia" w:cs="Georgia" w:eastAsia="Georgia" w:hAnsi="Georgia"/>
          <w:b/>
          <w:bCs/>
          <w:color w:val="C9A84C"/>
          <w:sz w:val="18"/>
          <w:szCs w:val="18"/>
        </w:rPr>
        <w:t xml:space="preserve">CONFIDENTIAL</w:t>
      </w:r>
    </w:p>
    <w:p>
      <w:pPr>
        <w:sectPr>
          <w:pgSz w:w="12240" w:h="15840" w:orient="portrait"/>
          <w:pgMar w:top="0" w:right="0" w:bottom="0" w:left="0" w:header="708" w:footer="708" w:gutter="0"/>
          <w:pgNumType/>
          <w:docGrid w:linePitch="360"/>
        </w:sectPr>
      </w:pPr>
    </w:p>
    <w:p>
      <w:pPr>
        <w:pStyle w:val="Heading1"/>
        <w:pBdr>
          <w:bottom w:val="single" w:color="C9A84C" w:sz="4" w:space="4"/>
        </w:pBdr>
        <w:spacing w:after="200" w:before="360"/>
      </w:pPr>
      <w:r>
        <w:rPr>
          <w:rFonts w:ascii="Georgia" w:cs="Georgia" w:eastAsia="Georgia" w:hAnsi="Georgia"/>
          <w:b/>
          <w:bCs/>
          <w:color w:val="0C1A2E"/>
          <w:sz w:val="26"/>
          <w:szCs w:val="26"/>
        </w:rPr>
        <w:t xml:space="preserve">1. Introduction</w:t>
      </w:r>
    </w:p>
    <w:p>
      <w:pPr>
        <w:spacing w:after="200"/>
        <w:jc w:val="both"/>
      </w:pPr>
      <w:r>
        <w:rPr>
          <w:rFonts w:ascii="Georgia" w:cs="Georgia" w:eastAsia="Georgia" w:hAnsi="Georgia"/>
          <w:color w:val="3A4A5C"/>
          <w:sz w:val="22"/>
          <w:szCs w:val="22"/>
        </w:rPr>
        <w:t xml:space="preserve">IBPROM Corp is a strategic advisory firm led by Joseph Soares, MBA, Adm.A., PMP. Mr. Soares brings institutional-grade experience to private sector engagements, having served as an advisor to the Prime Minister of Canada during the 2008 global financial crisis and as Chief of Staff at the Senate of Canada during the COVID-19 pandemic. His work has been featured in </w:t>
      </w:r>
      <w:r>
        <w:rPr>
          <w:rFonts w:ascii="Georgia" w:cs="Georgia" w:eastAsia="Georgia" w:hAnsi="Georgia"/>
          <w:i/>
          <w:iCs/>
          <w:color w:val="3A4A5C"/>
          <w:sz w:val="22"/>
          <w:szCs w:val="22"/>
        </w:rPr>
        <w:t xml:space="preserve">Forbes</w:t>
      </w:r>
      <w:r>
        <w:rPr>
          <w:rFonts w:ascii="Georgia" w:cs="Georgia" w:eastAsia="Georgia" w:hAnsi="Georgia"/>
          <w:color w:val="3A4A5C"/>
          <w:sz w:val="22"/>
          <w:szCs w:val="22"/>
        </w:rPr>
        <w:t xml:space="preserve"> and </w:t>
      </w:r>
      <w:r>
        <w:rPr>
          <w:rFonts w:ascii="Georgia" w:cs="Georgia" w:eastAsia="Georgia" w:hAnsi="Georgia"/>
          <w:i/>
          <w:iCs/>
          <w:color w:val="3A4A5C"/>
          <w:sz w:val="22"/>
          <w:szCs w:val="22"/>
        </w:rPr>
        <w:t xml:space="preserve">Newsweek</w:t>
      </w:r>
      <w:r>
        <w:rPr>
          <w:rFonts w:ascii="Georgia" w:cs="Georgia" w:eastAsia="Georgia" w:hAnsi="Georgia"/>
          <w:color w:val="3A4A5C"/>
          <w:sz w:val="22"/>
          <w:szCs w:val="22"/>
        </w:rPr>
        <w:t xml:space="preserve"> on matters of leadership, governance, and high-stakes decision-making.</w:t>
      </w:r>
    </w:p>
    <w:p>
      <w:pPr>
        <w:spacing w:after="200"/>
        <w:jc w:val="both"/>
      </w:pPr>
      <w:r>
        <w:rPr>
          <w:rFonts w:ascii="Georgia" w:cs="Georgia" w:eastAsia="Georgia" w:hAnsi="Georgia"/>
          <w:b w:val="false"/>
          <w:bCs w:val="false"/>
          <w:i w:val="false"/>
          <w:iCs w:val="false"/>
          <w:color w:val="3A4A5C"/>
          <w:sz w:val="22"/>
          <w:szCs w:val="22"/>
        </w:rPr>
        <w:t xml:space="preserve">This proposal outlines the scope, deliverables, timeline, and fees for a comprehensive feasibility study and strategic advisory engagement related to the properties at 179 and 191 Promenade du Portage, Gatineau, Quebec.</w:t>
      </w:r>
    </w:p>
    <w:p>
      <w:pPr>
        <w:spacing w:after="200"/>
        <w:jc w:val="both"/>
      </w:pPr>
      <w:r>
        <w:rPr>
          <w:rFonts w:ascii="Georgia" w:cs="Georgia" w:eastAsia="Georgia" w:hAnsi="Georgia"/>
          <w:b w:val="false"/>
          <w:bCs w:val="false"/>
          <w:i w:val="false"/>
          <w:iCs w:val="false"/>
          <w:color w:val="3A4A5C"/>
          <w:sz w:val="22"/>
          <w:szCs w:val="22"/>
        </w:rPr>
        <w:t xml:space="preserve">The engagement is designed to determine the viability of a hybrid salon-academy model within the existing commercial infrastructure, identify and secure applicable government funding, and position the property for long-term value creation through education-based programming.</w:t>
      </w:r>
    </w:p>
    <w:p>
      <w:pPr>
        <w:pBdr>
          <w:bottom w:val="single" w:color="C9A84C" w:sz="6" w:space="1"/>
        </w:pBdr>
        <w:spacing w:after="200" w:before="200"/>
      </w:pPr>
    </w:p>
    <w:p>
      <w:pPr>
        <w:pStyle w:val="Heading1"/>
        <w:pBdr>
          <w:bottom w:val="single" w:color="C9A84C" w:sz="4" w:space="4"/>
        </w:pBdr>
        <w:spacing w:after="200" w:before="360"/>
      </w:pPr>
      <w:r>
        <w:rPr>
          <w:rFonts w:ascii="Georgia" w:cs="Georgia" w:eastAsia="Georgia" w:hAnsi="Georgia"/>
          <w:b/>
          <w:bCs/>
          <w:color w:val="0C1A2E"/>
          <w:sz w:val="26"/>
          <w:szCs w:val="26"/>
        </w:rPr>
        <w:t xml:space="preserve">2. Client Context</w:t>
      </w:r>
    </w:p>
    <w:p>
      <w:pPr>
        <w:spacing w:after="200"/>
        <w:jc w:val="both"/>
      </w:pPr>
      <w:r>
        <w:rPr>
          <w:rFonts w:ascii="Georgia" w:cs="Georgia" w:eastAsia="Georgia" w:hAnsi="Georgia"/>
          <w:b w:val="false"/>
          <w:bCs w:val="false"/>
          <w:i w:val="false"/>
          <w:iCs w:val="false"/>
          <w:color w:val="3A4A5C"/>
          <w:sz w:val="22"/>
          <w:szCs w:val="22"/>
        </w:rPr>
        <w:t xml:space="preserve">Dr. Nader Dormani is the principal of Groupe Dormani, a diversified business group with holdings spanning automotive retail, commercial real estate, residential development, and development land in the Outaouais region. The portfolio includes automotive dealerships (Mitsubishi, Nissan, Infiniti, and Mazda), commercial properties at 179 and 191 Promenade du Portage in downtown Gatineau, the La Cité mixed-use development (commercial and residential towers with over 200 units), and significant development land including the La Cité Phase 2 site and acreage in Chelsea.</w:t>
      </w:r>
    </w:p>
    <w:p>
      <w:pPr>
        <w:spacing w:after="200"/>
        <w:jc w:val="both"/>
      </w:pPr>
      <w:r>
        <w:rPr>
          <w:rFonts w:ascii="Georgia" w:cs="Georgia" w:eastAsia="Georgia" w:hAnsi="Georgia"/>
          <w:b w:val="false"/>
          <w:bCs w:val="false"/>
          <w:i w:val="false"/>
          <w:iCs w:val="false"/>
          <w:color w:val="3A4A5C"/>
          <w:sz w:val="22"/>
          <w:szCs w:val="22"/>
        </w:rPr>
        <w:t xml:space="preserve">The commercial properties at 179 and 191 Promenade du Portage are situated in a corridor undergoing significant economic transition, driven by federal workforce displacement, post-pandemic commercial vacancy, and evolving municipal priorities. The current retail and commercial tenant mix at these addresses presents an opportunity for strategic repositioning.</w:t>
      </w:r>
    </w:p>
    <w:p>
      <w:pPr>
        <w:spacing w:after="200"/>
        <w:jc w:val="both"/>
      </w:pPr>
      <w:r>
        <w:rPr>
          <w:rFonts w:ascii="Georgia" w:cs="Georgia" w:eastAsia="Georgia" w:hAnsi="Georgia"/>
          <w:b w:val="false"/>
          <w:bCs w:val="false"/>
          <w:i w:val="false"/>
          <w:iCs w:val="false"/>
          <w:color w:val="3A4A5C"/>
          <w:sz w:val="22"/>
          <w:szCs w:val="22"/>
        </w:rPr>
        <w:t xml:space="preserve">Specifically, the integration of an education-based salon-academy model at the ground floor of 179 Promenade du Portage offers a path to stable, diversified revenue, reduced vacancy risk, enhanced property valuation, and alignment with government priorities at all three levels of government. This concept is the focus of the present engagement, with the understanding that the strategic advisory relationship may extend to other elements of the portfolio as the mandate progresses.</w:t>
      </w:r>
    </w:p>
    <w:p>
      <w:pPr>
        <w:pBdr>
          <w:bottom w:val="single" w:color="C9A84C" w:sz="6" w:space="1"/>
        </w:pBdr>
        <w:spacing w:after="200" w:before="200"/>
      </w:pPr>
    </w:p>
    <w:p>
      <w:pPr>
        <w:pStyle w:val="Heading1"/>
        <w:pBdr>
          <w:bottom w:val="single" w:color="C9A84C" w:sz="4" w:space="4"/>
        </w:pBdr>
        <w:spacing w:after="200" w:before="360"/>
      </w:pPr>
      <w:r>
        <w:rPr>
          <w:rFonts w:ascii="Georgia" w:cs="Georgia" w:eastAsia="Georgia" w:hAnsi="Georgia"/>
          <w:b/>
          <w:bCs/>
          <w:color w:val="0C1A2E"/>
          <w:sz w:val="26"/>
          <w:szCs w:val="26"/>
        </w:rPr>
        <w:t xml:space="preserve">3. Scope of Work</w:t>
      </w:r>
    </w:p>
    <w:p>
      <w:pPr>
        <w:spacing w:after="200"/>
        <w:jc w:val="both"/>
      </w:pPr>
      <w:r>
        <w:rPr>
          <w:rFonts w:ascii="Georgia" w:cs="Georgia" w:eastAsia="Georgia" w:hAnsi="Georgia"/>
          <w:b w:val="false"/>
          <w:bCs w:val="false"/>
          <w:i w:val="false"/>
          <w:iCs w:val="false"/>
          <w:color w:val="3A4A5C"/>
          <w:sz w:val="22"/>
          <w:szCs w:val="22"/>
        </w:rPr>
        <w:t xml:space="preserve">The engagement comprises three interconnected work streams:</w:t>
      </w:r>
    </w:p>
    <w:p>
      <w:pPr>
        <w:pStyle w:val="Heading2"/>
        <w:spacing w:after="160" w:before="280"/>
      </w:pPr>
      <w:r>
        <w:rPr>
          <w:rFonts w:ascii="Georgia" w:cs="Georgia" w:eastAsia="Georgia" w:hAnsi="Georgia"/>
          <w:b/>
          <w:bCs/>
          <w:color w:val="0C1A2E"/>
          <w:sz w:val="22"/>
          <w:szCs w:val="22"/>
        </w:rPr>
        <w:t xml:space="preserve">3.1 Feasibility Study — Hybrid Salon-Academy Model</w:t>
      </w:r>
    </w:p>
    <w:p>
      <w:pPr>
        <w:pStyle w:val="ListParagraph"/>
        <w:numPr>
          <w:ilvl w:val="0"/>
          <w:numId w:val="2"/>
        </w:numPr>
        <w:spacing w:after="100"/>
      </w:pPr>
      <w:r>
        <w:rPr>
          <w:rFonts w:ascii="Georgia" w:cs="Georgia" w:eastAsia="Georgia" w:hAnsi="Georgia"/>
          <w:color w:val="3A4A5C"/>
          <w:sz w:val="22"/>
          <w:szCs w:val="22"/>
        </w:rPr>
        <w:t xml:space="preserve">Market analysis: demand for cosmetology and barbering education in the Outaouais region, competitive landscape, demographic and workforce trends</w:t>
      </w:r>
    </w:p>
    <w:p>
      <w:pPr>
        <w:pStyle w:val="ListParagraph"/>
        <w:numPr>
          <w:ilvl w:val="0"/>
          <w:numId w:val="2"/>
        </w:numPr>
        <w:spacing w:after="100"/>
      </w:pPr>
      <w:r>
        <w:rPr>
          <w:rFonts w:ascii="Georgia" w:cs="Georgia" w:eastAsia="Georgia" w:hAnsi="Georgia"/>
          <w:color w:val="3A4A5C"/>
          <w:sz w:val="22"/>
          <w:szCs w:val="22"/>
        </w:rPr>
        <w:t xml:space="preserve">Regulatory review: Emploi-Québec licensing requirements, apprenticeship program integration (Programme d’apprentissage en milieu de travail — PAMT), institutional accreditation pathways</w:t>
      </w:r>
    </w:p>
    <w:p>
      <w:pPr>
        <w:pStyle w:val="ListParagraph"/>
        <w:numPr>
          <w:ilvl w:val="0"/>
          <w:numId w:val="2"/>
        </w:numPr>
        <w:spacing w:after="100"/>
      </w:pPr>
      <w:r>
        <w:rPr>
          <w:rFonts w:ascii="Georgia" w:cs="Georgia" w:eastAsia="Georgia" w:hAnsi="Georgia"/>
          <w:color w:val="3A4A5C"/>
          <w:sz w:val="22"/>
          <w:szCs w:val="22"/>
        </w:rPr>
        <w:t xml:space="preserve">Financial modelling: projected revenues, operating costs, net operating income, break-even analysis, and return on investment</w:t>
      </w:r>
    </w:p>
    <w:p>
      <w:pPr>
        <w:pStyle w:val="ListParagraph"/>
        <w:numPr>
          <w:ilvl w:val="0"/>
          <w:numId w:val="2"/>
        </w:numPr>
        <w:spacing w:after="100"/>
      </w:pPr>
      <w:r>
        <w:rPr>
          <w:rFonts w:ascii="Georgia" w:cs="Georgia" w:eastAsia="Georgia" w:hAnsi="Georgia"/>
          <w:color w:val="3A4A5C"/>
          <w:sz w:val="22"/>
          <w:szCs w:val="22"/>
        </w:rPr>
        <w:t xml:space="preserve">Space planning: preliminary assessment of physical requirements for salon-academy operations within the existing building footprint</w:t>
      </w:r>
    </w:p>
    <w:p>
      <w:pPr>
        <w:pStyle w:val="ListParagraph"/>
        <w:numPr>
          <w:ilvl w:val="0"/>
          <w:numId w:val="2"/>
        </w:numPr>
        <w:spacing w:after="100"/>
      </w:pPr>
      <w:r>
        <w:rPr>
          <w:rFonts w:ascii="Georgia" w:cs="Georgia" w:eastAsia="Georgia" w:hAnsi="Georgia"/>
          <w:color w:val="3A4A5C"/>
          <w:sz w:val="22"/>
          <w:szCs w:val="22"/>
        </w:rPr>
        <w:t xml:space="preserve">Social contribution analysis: positioning the salon-academy as a community asset serving workforce development, youth employment, and francophone education priorities</w:t>
      </w:r>
    </w:p>
    <w:p>
      <w:pPr>
        <w:pStyle w:val="Heading2"/>
        <w:spacing w:after="160" w:before="280"/>
      </w:pPr>
      <w:r>
        <w:rPr>
          <w:rFonts w:ascii="Georgia" w:cs="Georgia" w:eastAsia="Georgia" w:hAnsi="Georgia"/>
          <w:b/>
          <w:bCs/>
          <w:color w:val="0C1A2E"/>
          <w:sz w:val="22"/>
          <w:szCs w:val="22"/>
        </w:rPr>
        <w:t xml:space="preserve">3.2 Government Funding Strategy</w:t>
      </w:r>
    </w:p>
    <w:p>
      <w:pPr>
        <w:pStyle w:val="ListParagraph"/>
        <w:numPr>
          <w:ilvl w:val="0"/>
          <w:numId w:val="2"/>
        </w:numPr>
        <w:spacing w:after="100"/>
      </w:pPr>
      <w:r>
        <w:rPr>
          <w:rFonts w:ascii="Georgia" w:cs="Georgia" w:eastAsia="Georgia" w:hAnsi="Georgia"/>
          <w:color w:val="3A4A5C"/>
          <w:sz w:val="22"/>
          <w:szCs w:val="22"/>
        </w:rPr>
        <w:t xml:space="preserve">Identification and prioritization of applicable funding programs across federal, provincial, and municipal levels</w:t>
      </w:r>
    </w:p>
    <w:p>
      <w:pPr>
        <w:pStyle w:val="ListParagraph"/>
        <w:numPr>
          <w:ilvl w:val="0"/>
          <w:numId w:val="2"/>
        </w:numPr>
        <w:spacing w:after="100"/>
      </w:pPr>
      <w:r>
        <w:rPr>
          <w:rFonts w:ascii="Georgia" w:cs="Georgia" w:eastAsia="Georgia" w:hAnsi="Georgia"/>
          <w:color w:val="3A4A5C"/>
          <w:sz w:val="22"/>
          <w:szCs w:val="22"/>
        </w:rPr>
        <w:t xml:space="preserve">Preparation of initial grant applications, beginning with the ESSOR Volet 1A program (Investissement Québec), ready for submission by the applicant entity</w:t>
      </w:r>
    </w:p>
    <w:p>
      <w:pPr>
        <w:pStyle w:val="ListParagraph"/>
        <w:numPr>
          <w:ilvl w:val="0"/>
          <w:numId w:val="2"/>
        </w:numPr>
        <w:spacing w:after="100"/>
      </w:pPr>
      <w:r>
        <w:rPr>
          <w:rFonts w:ascii="Georgia" w:cs="Georgia" w:eastAsia="Georgia" w:hAnsi="Georgia"/>
          <w:color w:val="3A4A5C"/>
          <w:sz w:val="22"/>
          <w:szCs w:val="22"/>
        </w:rPr>
        <w:t xml:space="preserve">Development of a multi-mandate funding roadmap designed to maximize grant reimbursement and minimize client net cost</w:t>
      </w:r>
    </w:p>
    <w:p>
      <w:pPr>
        <w:pStyle w:val="ListParagraph"/>
        <w:numPr>
          <w:ilvl w:val="0"/>
          <w:numId w:val="2"/>
        </w:numPr>
        <w:spacing w:after="100"/>
      </w:pPr>
      <w:r>
        <w:rPr>
          <w:rFonts w:ascii="Georgia" w:cs="Georgia" w:eastAsia="Georgia" w:hAnsi="Georgia"/>
          <w:color w:val="3A4A5C"/>
          <w:sz w:val="22"/>
          <w:szCs w:val="22"/>
        </w:rPr>
        <w:t xml:space="preserve">Ongoing liaison with government agencies as required during the application review process</w:t>
      </w:r>
    </w:p>
    <w:p>
      <w:pPr>
        <w:pStyle w:val="Heading2"/>
        <w:spacing w:after="160" w:before="280"/>
      </w:pPr>
      <w:r>
        <w:rPr>
          <w:rFonts w:ascii="Georgia" w:cs="Georgia" w:eastAsia="Georgia" w:hAnsi="Georgia"/>
          <w:b/>
          <w:bCs/>
          <w:color w:val="0C1A2E"/>
          <w:sz w:val="22"/>
          <w:szCs w:val="22"/>
        </w:rPr>
        <w:t xml:space="preserve">3.3 Strategic Advisory</w:t>
      </w:r>
    </w:p>
    <w:p>
      <w:pPr>
        <w:pStyle w:val="ListParagraph"/>
        <w:numPr>
          <w:ilvl w:val="0"/>
          <w:numId w:val="2"/>
        </w:numPr>
        <w:spacing w:after="100"/>
      </w:pPr>
      <w:r>
        <w:rPr>
          <w:rFonts w:ascii="Georgia" w:cs="Georgia" w:eastAsia="Georgia" w:hAnsi="Georgia"/>
          <w:color w:val="3A4A5C"/>
          <w:sz w:val="22"/>
          <w:szCs w:val="22"/>
        </w:rPr>
        <w:t xml:space="preserve">Positioning strategy for the properties within the evolving downtown Gatineau economic context</w:t>
      </w:r>
    </w:p>
    <w:p>
      <w:pPr>
        <w:pStyle w:val="ListParagraph"/>
        <w:numPr>
          <w:ilvl w:val="0"/>
          <w:numId w:val="2"/>
        </w:numPr>
        <w:spacing w:after="100"/>
      </w:pPr>
      <w:r>
        <w:rPr>
          <w:rFonts w:ascii="Georgia" w:cs="Georgia" w:eastAsia="Georgia" w:hAnsi="Georgia"/>
          <w:color w:val="3A4A5C"/>
          <w:sz w:val="22"/>
          <w:szCs w:val="22"/>
        </w:rPr>
        <w:t xml:space="preserve">Stakeholder alignment: recommendations for engaging municipal, provincial, and federal partners</w:t>
      </w:r>
    </w:p>
    <w:p>
      <w:pPr>
        <w:pStyle w:val="ListParagraph"/>
        <w:numPr>
          <w:ilvl w:val="0"/>
          <w:numId w:val="2"/>
        </w:numPr>
        <w:spacing w:after="100"/>
      </w:pPr>
      <w:r>
        <w:rPr>
          <w:rFonts w:ascii="Georgia" w:cs="Georgia" w:eastAsia="Georgia" w:hAnsi="Georgia"/>
          <w:color w:val="3A4A5C"/>
          <w:sz w:val="22"/>
          <w:szCs w:val="22"/>
        </w:rPr>
        <w:t xml:space="preserve">Governance advisory: structural recommendations for entity formation, non-profit (OBNL) integration, and board composition as the project matures</w:t>
      </w:r>
    </w:p>
    <w:p>
      <w:pPr>
        <w:pStyle w:val="ListParagraph"/>
        <w:numPr>
          <w:ilvl w:val="0"/>
          <w:numId w:val="2"/>
        </w:numPr>
        <w:spacing w:after="100"/>
      </w:pPr>
      <w:r>
        <w:rPr>
          <w:rFonts w:ascii="Georgia" w:cs="Georgia" w:eastAsia="Georgia" w:hAnsi="Georgia"/>
          <w:color w:val="3A4A5C"/>
          <w:sz w:val="22"/>
          <w:szCs w:val="22"/>
        </w:rPr>
        <w:t xml:space="preserve">Ongoing strategic counsel on decision-making related to the property, tenant strategy, and institutional partnerships</w:t>
      </w:r>
    </w:p>
    <w:p>
      <w:pPr>
        <w:pBdr>
          <w:bottom w:val="single" w:color="C9A84C" w:sz="6" w:space="1"/>
        </w:pBdr>
        <w:spacing w:after="200" w:before="200"/>
      </w:pPr>
    </w:p>
    <w:p>
      <w:pPr>
        <w:pStyle w:val="Heading1"/>
        <w:pBdr>
          <w:bottom w:val="single" w:color="C9A84C" w:sz="4" w:space="4"/>
        </w:pBdr>
        <w:spacing w:after="200" w:before="360"/>
      </w:pPr>
      <w:r>
        <w:rPr>
          <w:rFonts w:ascii="Georgia" w:cs="Georgia" w:eastAsia="Georgia" w:hAnsi="Georgia"/>
          <w:b/>
          <w:bCs/>
          <w:color w:val="0C1A2E"/>
          <w:sz w:val="26"/>
          <w:szCs w:val="26"/>
        </w:rPr>
        <w:t xml:space="preserve">4. Deliverables</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600"/>
        <w:gridCol w:w="5972"/>
        <w:gridCol w:w="2500"/>
      </w:tblGrid>
      <w:tr>
        <w:trPr>
          <w:tblHeader/>
        </w:trPr>
        <w:tc>
          <w:tcPr>
            <w:tcW w:type="dxa" w:w="600"/>
            <w:tcBorders>
              <w:top w:val="single" w:color="CCCCCC" w:sz="1"/>
              <w:left w:val="single" w:color="CCCCCC" w:sz="1"/>
              <w:bottom w:val="single" w:color="CCCCCC" w:sz="1"/>
              <w:right w:val="single" w:color="CCCCCC" w:sz="1"/>
            </w:tcBorders>
            <w:shd w:fill="0C1A2E" w:val="clear"/>
            <w:tcMar>
              <w:top w:type="dxa" w:w="60"/>
              <w:left w:type="dxa" w:w="100"/>
              <w:bottom w:type="dxa" w:w="60"/>
              <w:right w:type="dxa" w:w="100"/>
            </w:tcMar>
          </w:tcPr>
          <w:p>
            <w:r>
              <w:rPr>
                <w:rFonts w:ascii="Georgia" w:cs="Georgia" w:eastAsia="Georgia" w:hAnsi="Georgia"/>
                <w:b/>
                <w:bCs/>
                <w:color w:val="FFFFFF"/>
                <w:sz w:val="19"/>
                <w:szCs w:val="19"/>
              </w:rPr>
              <w:t xml:space="preserve">#</w:t>
            </w:r>
          </w:p>
        </w:tc>
        <w:tc>
          <w:tcPr>
            <w:tcW w:type="dxa" w:w="5972"/>
            <w:tcBorders>
              <w:top w:val="single" w:color="CCCCCC" w:sz="1"/>
              <w:left w:val="single" w:color="CCCCCC" w:sz="1"/>
              <w:bottom w:val="single" w:color="CCCCCC" w:sz="1"/>
              <w:right w:val="single" w:color="CCCCCC" w:sz="1"/>
            </w:tcBorders>
            <w:shd w:fill="0C1A2E" w:val="clear"/>
            <w:tcMar>
              <w:top w:type="dxa" w:w="60"/>
              <w:left w:type="dxa" w:w="100"/>
              <w:bottom w:type="dxa" w:w="60"/>
              <w:right w:type="dxa" w:w="100"/>
            </w:tcMar>
          </w:tcPr>
          <w:p>
            <w:r>
              <w:rPr>
                <w:rFonts w:ascii="Georgia" w:cs="Georgia" w:eastAsia="Georgia" w:hAnsi="Georgia"/>
                <w:b/>
                <w:bCs/>
                <w:color w:val="FFFFFF"/>
                <w:sz w:val="19"/>
                <w:szCs w:val="19"/>
              </w:rPr>
              <w:t xml:space="preserve">Deliverable</w:t>
            </w:r>
          </w:p>
        </w:tc>
        <w:tc>
          <w:tcPr>
            <w:tcW w:type="dxa" w:w="2500"/>
            <w:tcBorders>
              <w:top w:val="single" w:color="CCCCCC" w:sz="1"/>
              <w:left w:val="single" w:color="CCCCCC" w:sz="1"/>
              <w:bottom w:val="single" w:color="CCCCCC" w:sz="1"/>
              <w:right w:val="single" w:color="CCCCCC" w:sz="1"/>
            </w:tcBorders>
            <w:shd w:fill="0C1A2E" w:val="clear"/>
            <w:tcMar>
              <w:top w:type="dxa" w:w="60"/>
              <w:left w:type="dxa" w:w="100"/>
              <w:bottom w:type="dxa" w:w="60"/>
              <w:right w:type="dxa" w:w="100"/>
            </w:tcMar>
          </w:tcPr>
          <w:p>
            <w:r>
              <w:rPr>
                <w:rFonts w:ascii="Georgia" w:cs="Georgia" w:eastAsia="Georgia" w:hAnsi="Georgia"/>
                <w:b/>
                <w:bCs/>
                <w:color w:val="FFFFFF"/>
                <w:sz w:val="19"/>
                <w:szCs w:val="19"/>
              </w:rPr>
              <w:t xml:space="preserve">Target Date</w:t>
            </w:r>
          </w:p>
        </w:tc>
      </w:tr>
      <w:tr>
        <w:tc>
          <w:tcPr>
            <w:tcW w:type="dxa" w:w="6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Georgia" w:cs="Georgia" w:eastAsia="Georgia" w:hAnsi="Georgia"/>
                <w:color w:val="3A4A5C"/>
                <w:sz w:val="19"/>
                <w:szCs w:val="19"/>
              </w:rPr>
              <w:t xml:space="preserve">1</w:t>
            </w:r>
          </w:p>
        </w:tc>
        <w:tc>
          <w:tcPr>
            <w:tcW w:type="dxa" w:w="5972"/>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Georgia" w:cs="Georgia" w:eastAsia="Georgia" w:hAnsi="Georgia"/>
                <w:color w:val="3A4A5C"/>
                <w:sz w:val="19"/>
                <w:szCs w:val="19"/>
              </w:rPr>
              <w:t xml:space="preserve">Hybrid Salon-Academy Feasibility Analysis (EN + FR)</w:t>
            </w:r>
          </w:p>
        </w:tc>
        <w:tc>
          <w:tcPr>
            <w:tcW w:type="dxa" w:w="25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Georgia" w:cs="Georgia" w:eastAsia="Georgia" w:hAnsi="Georgia"/>
                <w:color w:val="3A4A5C"/>
                <w:sz w:val="19"/>
                <w:szCs w:val="19"/>
              </w:rPr>
              <w:t xml:space="preserve">Delivered</w:t>
            </w:r>
          </w:p>
        </w:tc>
      </w:tr>
      <w:tr>
        <w:tc>
          <w:tcPr>
            <w:tcW w:type="dxa" w:w="6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Georgia" w:cs="Georgia" w:eastAsia="Georgia" w:hAnsi="Georgia"/>
                <w:color w:val="3A4A5C"/>
                <w:sz w:val="19"/>
                <w:szCs w:val="19"/>
              </w:rPr>
              <w:t xml:space="preserve">2</w:t>
            </w:r>
          </w:p>
        </w:tc>
        <w:tc>
          <w:tcPr>
            <w:tcW w:type="dxa" w:w="5972"/>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Georgia" w:cs="Georgia" w:eastAsia="Georgia" w:hAnsi="Georgia"/>
                <w:color w:val="3A4A5C"/>
                <w:sz w:val="19"/>
                <w:szCs w:val="19"/>
              </w:rPr>
              <w:t xml:space="preserve">ESSOR Volet 1A Grant Application (complete package, ready for submission)</w:t>
            </w:r>
          </w:p>
        </w:tc>
        <w:tc>
          <w:tcPr>
            <w:tcW w:type="dxa" w:w="25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Georgia" w:cs="Georgia" w:eastAsia="Georgia" w:hAnsi="Georgia"/>
                <w:color w:val="3A4A5C"/>
                <w:sz w:val="19"/>
                <w:szCs w:val="19"/>
              </w:rPr>
              <w:t xml:space="preserve">April 14, 2026</w:t>
            </w:r>
          </w:p>
        </w:tc>
      </w:tr>
      <w:tr>
        <w:tc>
          <w:tcPr>
            <w:tcW w:type="dxa" w:w="6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Georgia" w:cs="Georgia" w:eastAsia="Georgia" w:hAnsi="Georgia"/>
                <w:color w:val="3A4A5C"/>
                <w:sz w:val="19"/>
                <w:szCs w:val="19"/>
              </w:rPr>
              <w:t xml:space="preserve">3</w:t>
            </w:r>
          </w:p>
        </w:tc>
        <w:tc>
          <w:tcPr>
            <w:tcW w:type="dxa" w:w="5972"/>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Georgia" w:cs="Georgia" w:eastAsia="Georgia" w:hAnsi="Georgia"/>
                <w:color w:val="3A4A5C"/>
                <w:sz w:val="19"/>
                <w:szCs w:val="19"/>
              </w:rPr>
              <w:t xml:space="preserve">Multi-Mandate Funding Roadmap</w:t>
            </w:r>
          </w:p>
        </w:tc>
        <w:tc>
          <w:tcPr>
            <w:tcW w:type="dxa" w:w="25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Georgia" w:cs="Georgia" w:eastAsia="Georgia" w:hAnsi="Georgia"/>
                <w:color w:val="3A4A5C"/>
                <w:sz w:val="19"/>
                <w:szCs w:val="19"/>
              </w:rPr>
              <w:t xml:space="preserve">May 2026</w:t>
            </w:r>
          </w:p>
        </w:tc>
      </w:tr>
      <w:tr>
        <w:tc>
          <w:tcPr>
            <w:tcW w:type="dxa" w:w="6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Georgia" w:cs="Georgia" w:eastAsia="Georgia" w:hAnsi="Georgia"/>
                <w:color w:val="3A4A5C"/>
                <w:sz w:val="19"/>
                <w:szCs w:val="19"/>
              </w:rPr>
              <w:t xml:space="preserve">4</w:t>
            </w:r>
          </w:p>
        </w:tc>
        <w:tc>
          <w:tcPr>
            <w:tcW w:type="dxa" w:w="5972"/>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Georgia" w:cs="Georgia" w:eastAsia="Georgia" w:hAnsi="Georgia"/>
                <w:color w:val="3A4A5C"/>
                <w:sz w:val="19"/>
                <w:szCs w:val="19"/>
              </w:rPr>
              <w:t xml:space="preserve">Strategic Advisory Memorandum: Property Positioning</w:t>
            </w:r>
          </w:p>
        </w:tc>
        <w:tc>
          <w:tcPr>
            <w:tcW w:type="dxa" w:w="25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Georgia" w:cs="Georgia" w:eastAsia="Georgia" w:hAnsi="Georgia"/>
                <w:color w:val="3A4A5C"/>
                <w:sz w:val="19"/>
                <w:szCs w:val="19"/>
              </w:rPr>
              <w:t xml:space="preserve">May 2026</w:t>
            </w:r>
          </w:p>
        </w:tc>
      </w:tr>
      <w:tr>
        <w:tc>
          <w:tcPr>
            <w:tcW w:type="dxa" w:w="6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Georgia" w:cs="Georgia" w:eastAsia="Georgia" w:hAnsi="Georgia"/>
                <w:color w:val="3A4A5C"/>
                <w:sz w:val="19"/>
                <w:szCs w:val="19"/>
              </w:rPr>
              <w:t xml:space="preserve">5</w:t>
            </w:r>
          </w:p>
        </w:tc>
        <w:tc>
          <w:tcPr>
            <w:tcW w:type="dxa" w:w="5972"/>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Georgia" w:cs="Georgia" w:eastAsia="Georgia" w:hAnsi="Georgia"/>
                <w:color w:val="3A4A5C"/>
                <w:sz w:val="19"/>
                <w:szCs w:val="19"/>
              </w:rPr>
              <w:t xml:space="preserve">Governance &amp; Entity Structure Recommendations</w:t>
            </w:r>
          </w:p>
        </w:tc>
        <w:tc>
          <w:tcPr>
            <w:tcW w:type="dxa" w:w="25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Georgia" w:cs="Georgia" w:eastAsia="Georgia" w:hAnsi="Georgia"/>
                <w:color w:val="3A4A5C"/>
                <w:sz w:val="19"/>
                <w:szCs w:val="19"/>
              </w:rPr>
              <w:t xml:space="preserve">June 2026</w:t>
            </w:r>
          </w:p>
        </w:tc>
      </w:tr>
      <w:tr>
        <w:tc>
          <w:tcPr>
            <w:tcW w:type="dxa" w:w="6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Georgia" w:cs="Georgia" w:eastAsia="Georgia" w:hAnsi="Georgia"/>
                <w:color w:val="3A4A5C"/>
                <w:sz w:val="19"/>
                <w:szCs w:val="19"/>
              </w:rPr>
              <w:t xml:space="preserve">6</w:t>
            </w:r>
          </w:p>
        </w:tc>
        <w:tc>
          <w:tcPr>
            <w:tcW w:type="dxa" w:w="5972"/>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Georgia" w:cs="Georgia" w:eastAsia="Georgia" w:hAnsi="Georgia"/>
                <w:color w:val="3A4A5C"/>
                <w:sz w:val="19"/>
                <w:szCs w:val="19"/>
              </w:rPr>
              <w:t xml:space="preserve">Final Engagement Report with Recommendations</w:t>
            </w:r>
          </w:p>
        </w:tc>
        <w:tc>
          <w:tcPr>
            <w:tcW w:type="dxa" w:w="25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Georgia" w:cs="Georgia" w:eastAsia="Georgia" w:hAnsi="Georgia"/>
                <w:color w:val="3A4A5C"/>
                <w:sz w:val="19"/>
                <w:szCs w:val="19"/>
              </w:rPr>
              <w:t xml:space="preserve">June 2026</w:t>
            </w:r>
          </w:p>
        </w:tc>
      </w:tr>
    </w:tbl>
    <w:p>
      <w:pPr>
        <w:spacing w:after="80"/>
      </w:pPr>
    </w:p>
    <w:p>
      <w:pPr>
        <w:spacing w:after="200"/>
        <w:jc w:val="both"/>
      </w:pPr>
      <w:r>
        <w:rPr>
          <w:rFonts w:ascii="Georgia" w:cs="Georgia" w:eastAsia="Georgia" w:hAnsi="Georgia"/>
          <w:b/>
          <w:bCs/>
          <w:color w:val="3A4A5C"/>
          <w:sz w:val="22"/>
          <w:szCs w:val="22"/>
        </w:rPr>
        <w:t xml:space="preserve">Note: </w:t>
      </w:r>
      <w:r>
        <w:rPr>
          <w:rFonts w:ascii="Georgia" w:cs="Georgia" w:eastAsia="Georgia" w:hAnsi="Georgia"/>
          <w:color w:val="3A4A5C"/>
          <w:sz w:val="22"/>
          <w:szCs w:val="22"/>
        </w:rPr>
        <w:t xml:space="preserve">Deliverable 1 has been completed and is enclosed with this proposal for your reference. It represents the initial phase of work undertaken to demonstrate the quality and depth of analysis that will characterize this engagement.</w:t>
      </w:r>
    </w:p>
    <w:p>
      <w:pPr>
        <w:pBdr>
          <w:bottom w:val="single" w:color="C9A84C" w:sz="6" w:space="1"/>
        </w:pBdr>
        <w:spacing w:after="200" w:before="200"/>
      </w:pPr>
    </w:p>
    <w:p>
      <w:pPr>
        <w:pStyle w:val="Heading1"/>
        <w:pBdr>
          <w:bottom w:val="single" w:color="C9A84C" w:sz="4" w:space="4"/>
        </w:pBdr>
        <w:spacing w:after="200" w:before="360"/>
      </w:pPr>
      <w:r>
        <w:rPr>
          <w:rFonts w:ascii="Georgia" w:cs="Georgia" w:eastAsia="Georgia" w:hAnsi="Georgia"/>
          <w:b/>
          <w:bCs/>
          <w:color w:val="0C1A2E"/>
          <w:sz w:val="26"/>
          <w:szCs w:val="26"/>
        </w:rPr>
        <w:t xml:space="preserve">5. Timeline</w:t>
      </w:r>
    </w:p>
    <w:p>
      <w:pPr>
        <w:spacing w:after="200"/>
        <w:jc w:val="both"/>
      </w:pPr>
      <w:r>
        <w:rPr>
          <w:rFonts w:ascii="Georgia" w:cs="Georgia" w:eastAsia="Georgia" w:hAnsi="Georgia"/>
          <w:b w:val="false"/>
          <w:bCs w:val="false"/>
          <w:i w:val="false"/>
          <w:iCs w:val="false"/>
          <w:color w:val="3A4A5C"/>
          <w:sz w:val="22"/>
          <w:szCs w:val="22"/>
        </w:rPr>
        <w:t xml:space="preserve">The engagement is structured as a six-month mandate, commencing upon acceptance of this proposal and receipt of the initial retainer.</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5072"/>
      </w:tblGrid>
      <w:tr>
        <w:trPr>
          <w:tblHeader/>
        </w:trPr>
        <w:tc>
          <w:tcPr>
            <w:tcW w:type="dxa" w:w="1500"/>
            <w:tcBorders>
              <w:top w:val="single" w:color="CCCCCC" w:sz="1"/>
              <w:left w:val="single" w:color="CCCCCC" w:sz="1"/>
              <w:bottom w:val="single" w:color="CCCCCC" w:sz="1"/>
              <w:right w:val="single" w:color="CCCCCC" w:sz="1"/>
            </w:tcBorders>
            <w:shd w:fill="0C1A2E" w:val="clear"/>
            <w:tcMar>
              <w:top w:type="dxa" w:w="60"/>
              <w:left w:type="dxa" w:w="100"/>
              <w:bottom w:type="dxa" w:w="60"/>
              <w:right w:type="dxa" w:w="100"/>
            </w:tcMar>
          </w:tcPr>
          <w:p>
            <w:r>
              <w:rPr>
                <w:rFonts w:ascii="Georgia" w:cs="Georgia" w:eastAsia="Georgia" w:hAnsi="Georgia"/>
                <w:b/>
                <w:bCs/>
                <w:color w:val="FFFFFF"/>
                <w:sz w:val="19"/>
                <w:szCs w:val="19"/>
              </w:rPr>
              <w:t xml:space="preserve">Phase</w:t>
            </w:r>
          </w:p>
        </w:tc>
        <w:tc>
          <w:tcPr>
            <w:tcW w:type="dxa" w:w="2500"/>
            <w:tcBorders>
              <w:top w:val="single" w:color="CCCCCC" w:sz="1"/>
              <w:left w:val="single" w:color="CCCCCC" w:sz="1"/>
              <w:bottom w:val="single" w:color="CCCCCC" w:sz="1"/>
              <w:right w:val="single" w:color="CCCCCC" w:sz="1"/>
            </w:tcBorders>
            <w:shd w:fill="0C1A2E" w:val="clear"/>
            <w:tcMar>
              <w:top w:type="dxa" w:w="60"/>
              <w:left w:type="dxa" w:w="100"/>
              <w:bottom w:type="dxa" w:w="60"/>
              <w:right w:type="dxa" w:w="100"/>
            </w:tcMar>
          </w:tcPr>
          <w:p>
            <w:r>
              <w:rPr>
                <w:rFonts w:ascii="Georgia" w:cs="Georgia" w:eastAsia="Georgia" w:hAnsi="Georgia"/>
                <w:b/>
                <w:bCs/>
                <w:color w:val="FFFFFF"/>
                <w:sz w:val="19"/>
                <w:szCs w:val="19"/>
              </w:rPr>
              <w:t xml:space="preserve">Period</w:t>
            </w:r>
          </w:p>
        </w:tc>
        <w:tc>
          <w:tcPr>
            <w:tcW w:type="dxa" w:w="5072"/>
            <w:tcBorders>
              <w:top w:val="single" w:color="CCCCCC" w:sz="1"/>
              <w:left w:val="single" w:color="CCCCCC" w:sz="1"/>
              <w:bottom w:val="single" w:color="CCCCCC" w:sz="1"/>
              <w:right w:val="single" w:color="CCCCCC" w:sz="1"/>
            </w:tcBorders>
            <w:shd w:fill="0C1A2E" w:val="clear"/>
            <w:tcMar>
              <w:top w:type="dxa" w:w="60"/>
              <w:left w:type="dxa" w:w="100"/>
              <w:bottom w:type="dxa" w:w="60"/>
              <w:right w:type="dxa" w:w="100"/>
            </w:tcMar>
          </w:tcPr>
          <w:p>
            <w:r>
              <w:rPr>
                <w:rFonts w:ascii="Georgia" w:cs="Georgia" w:eastAsia="Georgia" w:hAnsi="Georgia"/>
                <w:b/>
                <w:bCs/>
                <w:color w:val="FFFFFF"/>
                <w:sz w:val="19"/>
                <w:szCs w:val="19"/>
              </w:rPr>
              <w:t xml:space="preserve">Activities</w:t>
            </w:r>
          </w:p>
        </w:tc>
      </w:tr>
      <w:tr>
        <w:tc>
          <w:tcPr>
            <w:tcW w:type="dxa" w:w="15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Georgia" w:cs="Georgia" w:eastAsia="Georgia" w:hAnsi="Georgia"/>
                <w:color w:val="3A4A5C"/>
                <w:sz w:val="19"/>
                <w:szCs w:val="19"/>
              </w:rPr>
              <w:t xml:space="preserve">Phase 1</w:t>
            </w:r>
          </w:p>
        </w:tc>
        <w:tc>
          <w:tcPr>
            <w:tcW w:type="dxa" w:w="25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Georgia" w:cs="Georgia" w:eastAsia="Georgia" w:hAnsi="Georgia"/>
                <w:color w:val="3A4A5C"/>
                <w:sz w:val="19"/>
                <w:szCs w:val="19"/>
              </w:rPr>
              <w:t xml:space="preserve">April – May 2026</w:t>
            </w:r>
          </w:p>
        </w:tc>
        <w:tc>
          <w:tcPr>
            <w:tcW w:type="dxa" w:w="5072"/>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Georgia" w:cs="Georgia" w:eastAsia="Georgia" w:hAnsi="Georgia"/>
                <w:color w:val="3A4A5C"/>
                <w:sz w:val="19"/>
                <w:szCs w:val="19"/>
              </w:rPr>
              <w:t xml:space="preserve">Feasibility delivery, ESSOR filing, funding roadmap development</w:t>
            </w:r>
          </w:p>
        </w:tc>
      </w:tr>
      <w:tr>
        <w:tc>
          <w:tcPr>
            <w:tcW w:type="dxa" w:w="15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Georgia" w:cs="Georgia" w:eastAsia="Georgia" w:hAnsi="Georgia"/>
                <w:color w:val="3A4A5C"/>
                <w:sz w:val="19"/>
                <w:szCs w:val="19"/>
              </w:rPr>
              <w:t xml:space="preserve">Phase 2</w:t>
            </w:r>
          </w:p>
        </w:tc>
        <w:tc>
          <w:tcPr>
            <w:tcW w:type="dxa" w:w="25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Georgia" w:cs="Georgia" w:eastAsia="Georgia" w:hAnsi="Georgia"/>
                <w:color w:val="3A4A5C"/>
                <w:sz w:val="19"/>
                <w:szCs w:val="19"/>
              </w:rPr>
              <w:t xml:space="preserve">May – June 2026</w:t>
            </w:r>
          </w:p>
        </w:tc>
        <w:tc>
          <w:tcPr>
            <w:tcW w:type="dxa" w:w="5072"/>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Georgia" w:cs="Georgia" w:eastAsia="Georgia" w:hAnsi="Georgia"/>
                <w:color w:val="3A4A5C"/>
                <w:sz w:val="19"/>
                <w:szCs w:val="19"/>
              </w:rPr>
              <w:t xml:space="preserve">Strategic advisory, entity structure, stakeholder engagement</w:t>
            </w:r>
          </w:p>
        </w:tc>
      </w:tr>
      <w:tr>
        <w:tc>
          <w:tcPr>
            <w:tcW w:type="dxa" w:w="15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Georgia" w:cs="Georgia" w:eastAsia="Georgia" w:hAnsi="Georgia"/>
                <w:color w:val="3A4A5C"/>
                <w:sz w:val="19"/>
                <w:szCs w:val="19"/>
              </w:rPr>
              <w:t xml:space="preserve">Phase 3</w:t>
            </w:r>
          </w:p>
        </w:tc>
        <w:tc>
          <w:tcPr>
            <w:tcW w:type="dxa" w:w="25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Georgia" w:cs="Georgia" w:eastAsia="Georgia" w:hAnsi="Georgia"/>
                <w:color w:val="3A4A5C"/>
                <w:sz w:val="19"/>
                <w:szCs w:val="19"/>
              </w:rPr>
              <w:t xml:space="preserve">July – September 2026</w:t>
            </w:r>
          </w:p>
        </w:tc>
        <w:tc>
          <w:tcPr>
            <w:tcW w:type="dxa" w:w="5072"/>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Georgia" w:cs="Georgia" w:eastAsia="Georgia" w:hAnsi="Georgia"/>
                <w:color w:val="3A4A5C"/>
                <w:sz w:val="19"/>
                <w:szCs w:val="19"/>
              </w:rPr>
              <w:t xml:space="preserve">Implementation support, additional grant applications, ongoing counsel</w:t>
            </w:r>
          </w:p>
        </w:tc>
      </w:tr>
    </w:tbl>
    <w:p>
      <w:pPr>
        <w:pBdr>
          <w:bottom w:val="single" w:color="C9A84C" w:sz="6" w:space="1"/>
        </w:pBdr>
        <w:spacing w:after="200" w:before="200"/>
      </w:pPr>
    </w:p>
    <w:p>
      <w:pPr>
        <w:pStyle w:val="Heading1"/>
        <w:pBdr>
          <w:bottom w:val="single" w:color="C9A84C" w:sz="4" w:space="4"/>
        </w:pBdr>
        <w:spacing w:after="200" w:before="360"/>
      </w:pPr>
      <w:r>
        <w:rPr>
          <w:rFonts w:ascii="Georgia" w:cs="Georgia" w:eastAsia="Georgia" w:hAnsi="Georgia"/>
          <w:b/>
          <w:bCs/>
          <w:color w:val="0C1A2E"/>
          <w:sz w:val="26"/>
          <w:szCs w:val="26"/>
        </w:rPr>
        <w:t xml:space="preserve">6. Professional Fees</w:t>
      </w:r>
    </w:p>
    <w:p>
      <w:pPr>
        <w:spacing w:after="200"/>
        <w:jc w:val="both"/>
      </w:pPr>
      <w:r>
        <w:rPr>
          <w:rFonts w:ascii="Georgia" w:cs="Georgia" w:eastAsia="Georgia" w:hAnsi="Georgia"/>
          <w:b w:val="false"/>
          <w:bCs w:val="false"/>
          <w:i w:val="false"/>
          <w:iCs w:val="false"/>
          <w:color w:val="3A4A5C"/>
          <w:sz w:val="22"/>
          <w:szCs w:val="22"/>
        </w:rPr>
        <w:t xml:space="preserve">The total engagement fee is structured to reflect the scope and duration of the work, while remaining sensitive to the client’s preference for government-funded cost recovery.</w:t>
      </w:r>
    </w:p>
    <w:p>
      <w:pPr>
        <w:spacing w:after="80"/>
      </w:pP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6072"/>
        <w:gridCol w:w="3000"/>
      </w:tblGrid>
      <w:tr>
        <w:trPr>
          <w:tblHeader/>
        </w:trPr>
        <w:tc>
          <w:tcPr>
            <w:tcW w:type="dxa" w:w="6072"/>
            <w:tcBorders>
              <w:top w:val="single" w:color="CCCCCC" w:sz="1"/>
              <w:left w:val="single" w:color="CCCCCC" w:sz="1"/>
              <w:bottom w:val="single" w:color="CCCCCC" w:sz="1"/>
              <w:right w:val="single" w:color="CCCCCC" w:sz="1"/>
            </w:tcBorders>
            <w:shd w:fill="0C1A2E" w:val="clear"/>
            <w:tcMar>
              <w:top w:type="dxa" w:w="60"/>
              <w:left w:type="dxa" w:w="100"/>
              <w:bottom w:type="dxa" w:w="60"/>
              <w:right w:type="dxa" w:w="100"/>
            </w:tcMar>
          </w:tcPr>
          <w:p>
            <w:r>
              <w:rPr>
                <w:rFonts w:ascii="Georgia" w:cs="Georgia" w:eastAsia="Georgia" w:hAnsi="Georgia"/>
                <w:b/>
                <w:bCs/>
                <w:color w:val="FFFFFF"/>
                <w:sz w:val="19"/>
                <w:szCs w:val="19"/>
              </w:rPr>
              <w:t xml:space="preserve">Component</w:t>
            </w:r>
          </w:p>
        </w:tc>
        <w:tc>
          <w:tcPr>
            <w:tcW w:type="dxa" w:w="3000"/>
            <w:tcBorders>
              <w:top w:val="single" w:color="CCCCCC" w:sz="1"/>
              <w:left w:val="single" w:color="CCCCCC" w:sz="1"/>
              <w:bottom w:val="single" w:color="CCCCCC" w:sz="1"/>
              <w:right w:val="single" w:color="CCCCCC" w:sz="1"/>
            </w:tcBorders>
            <w:shd w:fill="0C1A2E" w:val="clear"/>
            <w:tcMar>
              <w:top w:type="dxa" w:w="60"/>
              <w:left w:type="dxa" w:w="100"/>
              <w:bottom w:type="dxa" w:w="60"/>
              <w:right w:type="dxa" w:w="100"/>
            </w:tcMar>
          </w:tcPr>
          <w:p>
            <w:r>
              <w:rPr>
                <w:rFonts w:ascii="Georgia" w:cs="Georgia" w:eastAsia="Georgia" w:hAnsi="Georgia"/>
                <w:b/>
                <w:bCs/>
                <w:color w:val="FFFFFF"/>
                <w:sz w:val="19"/>
                <w:szCs w:val="19"/>
              </w:rPr>
              <w:t xml:space="preserve">Amount (CAD)</w:t>
            </w:r>
          </w:p>
        </w:tc>
      </w:tr>
      <w:tr>
        <w:tc>
          <w:tcPr>
            <w:tcW w:type="dxa" w:w="6072"/>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Georgia" w:cs="Georgia" w:eastAsia="Georgia" w:hAnsi="Georgia"/>
                <w:color w:val="3A4A5C"/>
                <w:sz w:val="19"/>
                <w:szCs w:val="19"/>
              </w:rPr>
              <w:t xml:space="preserve">Total Engagement Fee (6 months)</w:t>
            </w:r>
          </w:p>
        </w:tc>
        <w:tc>
          <w:tcPr>
            <w:tcW w:type="dxa" w:w="30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Georgia" w:cs="Georgia" w:eastAsia="Georgia" w:hAnsi="Georgia"/>
                <w:color w:val="3A4A5C"/>
                <w:sz w:val="19"/>
                <w:szCs w:val="19"/>
              </w:rPr>
              <w:t xml:space="preserve">$100,000</w:t>
            </w:r>
          </w:p>
        </w:tc>
      </w:tr>
      <w:tr>
        <w:tc>
          <w:tcPr>
            <w:tcW w:type="dxa" w:w="6072"/>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Georgia" w:cs="Georgia" w:eastAsia="Georgia" w:hAnsi="Georgia"/>
                <w:color w:val="3A4A5C"/>
                <w:sz w:val="19"/>
                <w:szCs w:val="19"/>
              </w:rPr>
              <w:t xml:space="preserve">Less: Estimated Grant Reimbursement (ESSOR Volet 1A, 50%)</w:t>
            </w:r>
          </w:p>
        </w:tc>
        <w:tc>
          <w:tcPr>
            <w:tcW w:type="dxa" w:w="30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Georgia" w:cs="Georgia" w:eastAsia="Georgia" w:hAnsi="Georgia"/>
                <w:color w:val="3A4A5C"/>
                <w:sz w:val="19"/>
                <w:szCs w:val="19"/>
              </w:rPr>
              <w:t xml:space="preserve">($50,000)</w:t>
            </w:r>
          </w:p>
        </w:tc>
      </w:tr>
      <w:tr>
        <w:tc>
          <w:tcPr>
            <w:tcW w:type="dxa" w:w="6072"/>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Georgia" w:cs="Georgia" w:eastAsia="Georgia" w:hAnsi="Georgia"/>
                <w:color w:val="3A4A5C"/>
                <w:sz w:val="19"/>
                <w:szCs w:val="19"/>
              </w:rPr>
              <w:t xml:space="preserve">Estimated Net Client Cost</w:t>
            </w:r>
          </w:p>
        </w:tc>
        <w:tc>
          <w:tcPr>
            <w:tcW w:type="dxa" w:w="30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Georgia" w:cs="Georgia" w:eastAsia="Georgia" w:hAnsi="Georgia"/>
                <w:color w:val="3A4A5C"/>
                <w:sz w:val="19"/>
                <w:szCs w:val="19"/>
              </w:rPr>
              <w:t xml:space="preserve">$50,000</w:t>
            </w:r>
          </w:p>
        </w:tc>
      </w:tr>
    </w:tbl>
    <w:p>
      <w:pPr>
        <w:spacing w:after="80"/>
      </w:pPr>
    </w:p>
    <w:p>
      <w:pPr>
        <w:pStyle w:val="Heading2"/>
        <w:spacing w:after="160" w:before="280"/>
      </w:pPr>
      <w:r>
        <w:rPr>
          <w:rFonts w:ascii="Georgia" w:cs="Georgia" w:eastAsia="Georgia" w:hAnsi="Georgia"/>
          <w:b/>
          <w:bCs/>
          <w:color w:val="0C1A2E"/>
          <w:sz w:val="22"/>
          <w:szCs w:val="22"/>
        </w:rPr>
        <w:t xml:space="preserve">6.1 Payment Terms</w:t>
      </w:r>
    </w:p>
    <w:p>
      <w:pPr>
        <w:pStyle w:val="ListParagraph"/>
        <w:numPr>
          <w:ilvl w:val="0"/>
          <w:numId w:val="2"/>
        </w:numPr>
        <w:spacing w:after="100"/>
      </w:pPr>
      <w:r>
        <w:rPr>
          <w:rFonts w:ascii="Georgia" w:cs="Georgia" w:eastAsia="Georgia" w:hAnsi="Georgia"/>
          <w:color w:val="3A4A5C"/>
          <w:sz w:val="22"/>
          <w:szCs w:val="22"/>
        </w:rPr>
        <w:t xml:space="preserve">First and Last Month Retainer: $33,333.33 + applicable taxes, due upon acceptance of this proposal. This amount represents the first and final months of the engagement and secures IBPROM Corp’s immediate availability and commitment to the mandate.</w:t>
      </w:r>
    </w:p>
    <w:p>
      <w:pPr>
        <w:pStyle w:val="ListParagraph"/>
        <w:numPr>
          <w:ilvl w:val="0"/>
          <w:numId w:val="2"/>
        </w:numPr>
        <w:spacing w:after="100"/>
      </w:pPr>
      <w:r>
        <w:rPr>
          <w:rFonts w:ascii="Georgia" w:cs="Georgia" w:eastAsia="Georgia" w:hAnsi="Georgia"/>
          <w:color w:val="3A4A5C"/>
          <w:sz w:val="22"/>
          <w:szCs w:val="22"/>
        </w:rPr>
        <w:t xml:space="preserve">Monthly Invoicing: Months 2 through 5 will be invoiced monthly in equal instalments of $16,666.67, payable within fifteen (15) days of invoice date.</w:t>
      </w:r>
    </w:p>
    <w:p>
      <w:pPr>
        <w:pStyle w:val="ListParagraph"/>
        <w:numPr>
          <w:ilvl w:val="0"/>
          <w:numId w:val="2"/>
        </w:numPr>
        <w:spacing w:after="100"/>
      </w:pPr>
      <w:r>
        <w:rPr>
          <w:rFonts w:ascii="Georgia" w:cs="Georgia" w:eastAsia="Georgia" w:hAnsi="Georgia"/>
          <w:color w:val="3A4A5C"/>
          <w:sz w:val="22"/>
          <w:szCs w:val="22"/>
        </w:rPr>
        <w:t xml:space="preserve">Taxes: All fees are subject to applicable GST (5%) and QST (9.975%). IBPROM Corp is a GST/QST registrant.</w:t>
      </w:r>
    </w:p>
    <w:p>
      <w:pPr>
        <w:pStyle w:val="Heading2"/>
        <w:spacing w:after="160" w:before="280"/>
      </w:pPr>
      <w:r>
        <w:rPr>
          <w:rFonts w:ascii="Georgia" w:cs="Georgia" w:eastAsia="Georgia" w:hAnsi="Georgia"/>
          <w:b/>
          <w:bCs/>
          <w:color w:val="0C1A2E"/>
          <w:sz w:val="22"/>
          <w:szCs w:val="22"/>
        </w:rPr>
        <w:t xml:space="preserve">6.2 Government Funding Disclaimer</w:t>
      </w:r>
    </w:p>
    <w:p>
      <w:pPr>
        <w:spacing w:after="200"/>
        <w:jc w:val="both"/>
      </w:pPr>
      <w:r>
        <w:rPr>
          <w:rFonts w:ascii="Georgia" w:cs="Georgia" w:eastAsia="Georgia" w:hAnsi="Georgia"/>
          <w:b w:val="false"/>
          <w:bCs w:val="false"/>
          <w:i w:val="false"/>
          <w:iCs w:val="false"/>
          <w:color w:val="3A4A5C"/>
          <w:sz w:val="22"/>
          <w:szCs w:val="22"/>
        </w:rPr>
        <w:t xml:space="preserve">IBPROM Corp will identify, research, and prepare applications for all government funding programs for which this project may qualify. However, funding approval decisions are made solely by the relevant government agencies and are outside the control of IBPROM Corp. No guarantee of funding approval is made or implied.</w:t>
      </w:r>
    </w:p>
    <w:p>
      <w:pPr>
        <w:spacing w:after="200"/>
        <w:jc w:val="both"/>
      </w:pPr>
      <w:r>
        <w:rPr>
          <w:rFonts w:ascii="Georgia" w:cs="Georgia" w:eastAsia="Georgia" w:hAnsi="Georgia"/>
          <w:b w:val="false"/>
          <w:bCs w:val="false"/>
          <w:i w:val="false"/>
          <w:iCs w:val="false"/>
          <w:color w:val="3A4A5C"/>
          <w:sz w:val="22"/>
          <w:szCs w:val="22"/>
        </w:rPr>
        <w:t xml:space="preserve">The grant reimbursement figures referenced in this proposal are estimates based on published program parameters and are subject to validation by the approving authority. The client should be prepared to bear the full engagement fee in the event that government funding is not approved or is approved at a lower amount than estimated.</w:t>
      </w:r>
    </w:p>
    <w:p>
      <w:pPr>
        <w:spacing w:after="200"/>
        <w:jc w:val="both"/>
      </w:pPr>
      <w:r>
        <w:rPr>
          <w:rFonts w:ascii="Georgia" w:cs="Georgia" w:eastAsia="Georgia" w:hAnsi="Georgia"/>
          <w:b/>
          <w:bCs/>
          <w:color w:val="3A4A5C"/>
          <w:sz w:val="22"/>
          <w:szCs w:val="22"/>
        </w:rPr>
        <w:t xml:space="preserve">For reference: </w:t>
      </w:r>
      <w:r>
        <w:rPr>
          <w:rFonts w:ascii="Georgia" w:cs="Georgia" w:eastAsia="Georgia" w:hAnsi="Georgia"/>
          <w:color w:val="3A4A5C"/>
          <w:sz w:val="22"/>
          <w:szCs w:val="22"/>
        </w:rPr>
        <w:t xml:space="preserve">The ESSOR Volet 1A program reimburses up to 50% of eligible external consultant fees to a maximum of $50,000. IBPROM Corp will prepare the application materials as part of Phase 1; submission is made by the applicant entity through ClicSÉQUR Entreprises.</w:t>
      </w:r>
    </w:p>
    <w:p>
      <w:pPr>
        <w:pBdr>
          <w:bottom w:val="single" w:color="C9A84C" w:sz="6" w:space="1"/>
        </w:pBdr>
        <w:spacing w:after="200" w:before="200"/>
      </w:pPr>
    </w:p>
    <w:p>
      <w:pPr>
        <w:pStyle w:val="Heading1"/>
        <w:pBdr>
          <w:bottom w:val="single" w:color="C9A84C" w:sz="4" w:space="4"/>
        </w:pBdr>
        <w:spacing w:after="200" w:before="360"/>
      </w:pPr>
      <w:r>
        <w:rPr>
          <w:rFonts w:ascii="Georgia" w:cs="Georgia" w:eastAsia="Georgia" w:hAnsi="Georgia"/>
          <w:b/>
          <w:bCs/>
          <w:color w:val="0C1A2E"/>
          <w:sz w:val="26"/>
          <w:szCs w:val="26"/>
        </w:rPr>
        <w:t xml:space="preserve">7. Why IBPROM Corp</w:t>
      </w:r>
    </w:p>
    <w:p>
      <w:pPr>
        <w:pStyle w:val="Heading2"/>
        <w:spacing w:after="160" w:before="280"/>
      </w:pPr>
      <w:r>
        <w:rPr>
          <w:rFonts w:ascii="Georgia" w:cs="Georgia" w:eastAsia="Georgia" w:hAnsi="Georgia"/>
          <w:b/>
          <w:bCs/>
          <w:color w:val="0C1A2E"/>
          <w:sz w:val="22"/>
          <w:szCs w:val="22"/>
        </w:rPr>
        <w:t xml:space="preserve">7.1 Proven Track Record with Your Business</w:t>
      </w:r>
    </w:p>
    <w:p>
      <w:pPr>
        <w:spacing w:after="200"/>
        <w:jc w:val="both"/>
      </w:pPr>
      <w:r>
        <w:rPr>
          <w:rFonts w:ascii="Georgia" w:cs="Georgia" w:eastAsia="Georgia" w:hAnsi="Georgia"/>
          <w:b w:val="false"/>
          <w:bCs w:val="false"/>
          <w:i w:val="false"/>
          <w:iCs w:val="false"/>
          <w:color w:val="3A4A5C"/>
          <w:sz w:val="22"/>
          <w:szCs w:val="22"/>
        </w:rPr>
        <w:t xml:space="preserve">IBPROM Corp is not a new relationship. Over the course of approximately one year supporting the Phase 1 construction of La Cité Gatineau, Mr. Soares provided hands-on strategic and operational support across multiple dimensions:</w:t>
      </w:r>
    </w:p>
    <w:p>
      <w:pPr>
        <w:pStyle w:val="ListParagraph"/>
        <w:numPr>
          <w:ilvl w:val="0"/>
          <w:numId w:val="2"/>
        </w:numPr>
        <w:spacing w:after="100"/>
      </w:pPr>
      <w:r>
        <w:rPr>
          <w:rFonts w:ascii="Georgia" w:cs="Georgia" w:eastAsia="Georgia" w:hAnsi="Georgia"/>
          <w:color w:val="3A4A5C"/>
          <w:sz w:val="22"/>
          <w:szCs w:val="22"/>
        </w:rPr>
        <w:t xml:space="preserve">Construction oversight and contractor relations: served as your primary liaison with BBL Construction and all subcontractors throughout the La Cité Phase 1 buildout, ensuring coordination, accountability, and timely resolution of issues as they arose</w:t>
      </w:r>
    </w:p>
    <w:p>
      <w:pPr>
        <w:pStyle w:val="ListParagraph"/>
        <w:numPr>
          <w:ilvl w:val="0"/>
          <w:numId w:val="2"/>
        </w:numPr>
        <w:spacing w:after="100"/>
      </w:pPr>
      <w:r>
        <w:rPr>
          <w:rFonts w:ascii="Georgia" w:cs="Georgia" w:eastAsia="Georgia" w:hAnsi="Georgia"/>
          <w:color w:val="3A4A5C"/>
          <w:sz w:val="22"/>
          <w:szCs w:val="22"/>
        </w:rPr>
        <w:t xml:space="preserve">Cost and schedule management: BBL Construction directly attributed approximately $500,000 in cost savings and an estimated six months of accelerated delivery to the coordination and oversight IBPROM provided during the La Cité construction</w:t>
      </w:r>
    </w:p>
    <w:p>
      <w:pPr>
        <w:pStyle w:val="ListParagraph"/>
        <w:numPr>
          <w:ilvl w:val="0"/>
          <w:numId w:val="2"/>
        </w:numPr>
        <w:spacing w:after="100"/>
      </w:pPr>
      <w:r>
        <w:rPr>
          <w:rFonts w:ascii="Georgia" w:cs="Georgia" w:eastAsia="Georgia" w:hAnsi="Georgia"/>
          <w:color w:val="3A4A5C"/>
          <w:sz w:val="22"/>
          <w:szCs w:val="22"/>
        </w:rPr>
        <w:t xml:space="preserve">Customer relations and tenant support: managed ongoing communications, rental inquiries, and relationship maintenance during the critical initial occupancy period</w:t>
      </w:r>
    </w:p>
    <w:p>
      <w:pPr>
        <w:pStyle w:val="ListParagraph"/>
        <w:numPr>
          <w:ilvl w:val="0"/>
          <w:numId w:val="2"/>
        </w:numPr>
        <w:spacing w:after="100"/>
      </w:pPr>
      <w:r>
        <w:rPr>
          <w:rFonts w:ascii="Georgia" w:cs="Georgia" w:eastAsia="Georgia" w:hAnsi="Georgia"/>
          <w:color w:val="3A4A5C"/>
          <w:sz w:val="22"/>
          <w:szCs w:val="22"/>
        </w:rPr>
        <w:t xml:space="preserve">Infrastructure and operations: supported the deployment of building systems, operational processes, and day-to-day management requirements</w:t>
      </w:r>
    </w:p>
    <w:p>
      <w:pPr>
        <w:pStyle w:val="ListParagraph"/>
        <w:numPr>
          <w:ilvl w:val="0"/>
          <w:numId w:val="2"/>
        </w:numPr>
        <w:spacing w:after="100"/>
      </w:pPr>
      <w:r>
        <w:rPr>
          <w:rFonts w:ascii="Georgia" w:cs="Georgia" w:eastAsia="Georgia" w:hAnsi="Georgia"/>
          <w:color w:val="3A4A5C"/>
          <w:sz w:val="22"/>
          <w:szCs w:val="22"/>
        </w:rPr>
        <w:t xml:space="preserve">Marketing and digital presence: repositioned the La Cité Gatineau website, revised its narrative and messaging, produced photography and videography, developed social media accounts and sustained social media presence, and created marketing materials to support leasing and occupancy efforts</w:t>
      </w:r>
    </w:p>
    <w:p>
      <w:pPr>
        <w:spacing w:after="200"/>
        <w:jc w:val="both"/>
      </w:pPr>
      <w:r>
        <w:rPr>
          <w:rFonts w:ascii="Georgia" w:cs="Georgia" w:eastAsia="Georgia" w:hAnsi="Georgia"/>
          <w:b w:val="false"/>
          <w:bCs w:val="false"/>
          <w:i w:val="false"/>
          <w:iCs w:val="false"/>
          <w:color w:val="3A4A5C"/>
          <w:sz w:val="22"/>
          <w:szCs w:val="22"/>
        </w:rPr>
        <w:t xml:space="preserve">This prior engagement means there is no ramp-up period. IBPROM already understands your business, your objectives, and your portfolio. This proposal builds directly on that foundation.</w:t>
      </w:r>
    </w:p>
    <w:p>
      <w:pPr>
        <w:pStyle w:val="Heading2"/>
        <w:spacing w:after="160" w:before="280"/>
      </w:pPr>
      <w:r>
        <w:rPr>
          <w:rFonts w:ascii="Georgia" w:cs="Georgia" w:eastAsia="Georgia" w:hAnsi="Georgia"/>
          <w:b/>
          <w:bCs/>
          <w:color w:val="0C1A2E"/>
          <w:sz w:val="22"/>
          <w:szCs w:val="22"/>
        </w:rPr>
        <w:t xml:space="preserve">7.2 Institutional Capabilities</w:t>
      </w:r>
    </w:p>
    <w:p>
      <w:pPr>
        <w:pStyle w:val="ListParagraph"/>
        <w:numPr>
          <w:ilvl w:val="0"/>
          <w:numId w:val="2"/>
        </w:numPr>
        <w:spacing w:after="100"/>
      </w:pPr>
      <w:r>
        <w:rPr>
          <w:rFonts w:ascii="Georgia" w:cs="Georgia" w:eastAsia="Georgia" w:hAnsi="Georgia"/>
          <w:color w:val="3A4A5C"/>
          <w:sz w:val="22"/>
          <w:szCs w:val="22"/>
        </w:rPr>
        <w:t xml:space="preserve">Government fluency: Mr. Soares has served inside the federal government at the highest levels — in the Prime Minister’s Office during a global financial crisis and at the Senate of Canada during the pandemic. He understands how funding decisions are made, what language resonates with program administrators, and how to position applications for approval.</w:t>
      </w:r>
    </w:p>
    <w:p>
      <w:pPr>
        <w:pStyle w:val="ListParagraph"/>
        <w:numPr>
          <w:ilvl w:val="0"/>
          <w:numId w:val="2"/>
        </w:numPr>
        <w:spacing w:after="100"/>
      </w:pPr>
      <w:r>
        <w:rPr>
          <w:rFonts w:ascii="Georgia" w:cs="Georgia" w:eastAsia="Georgia" w:hAnsi="Georgia"/>
          <w:color w:val="3A4A5C"/>
          <w:sz w:val="22"/>
          <w:szCs w:val="22"/>
        </w:rPr>
        <w:t xml:space="preserve">Strategic depth: The feasibility analysis already delivered with this proposal demonstrates the calibre of work this engagement will produce — evidence-based, fully sourced, and structured for decision-making.</w:t>
      </w:r>
    </w:p>
    <w:p>
      <w:pPr>
        <w:pStyle w:val="ListParagraph"/>
        <w:numPr>
          <w:ilvl w:val="0"/>
          <w:numId w:val="2"/>
        </w:numPr>
        <w:spacing w:after="100"/>
      </w:pPr>
      <w:r>
        <w:rPr>
          <w:rFonts w:ascii="Georgia" w:cs="Georgia" w:eastAsia="Georgia" w:hAnsi="Georgia"/>
          <w:color w:val="3A4A5C"/>
          <w:sz w:val="22"/>
          <w:szCs w:val="22"/>
        </w:rPr>
        <w:t xml:space="preserve">Bilingual capacity: All deliverables are available in both English and French, critical for Quebec-based government applications and stakeholder communications.</w:t>
      </w:r>
    </w:p>
    <w:p>
      <w:pPr>
        <w:pStyle w:val="ListParagraph"/>
        <w:numPr>
          <w:ilvl w:val="0"/>
          <w:numId w:val="2"/>
        </w:numPr>
        <w:spacing w:after="100"/>
      </w:pPr>
      <w:r>
        <w:rPr>
          <w:rFonts w:ascii="Georgia" w:cs="Georgia" w:eastAsia="Georgia" w:hAnsi="Georgia"/>
          <w:color w:val="3A4A5C"/>
          <w:sz w:val="22"/>
          <w:szCs w:val="22"/>
        </w:rPr>
        <w:t xml:space="preserve">Aligned incentives: IBPROM Corp’s fee structure is designed so that successful grant applications directly reduce your net cost. This alignment ensures IBPROM is fully invested in results.</w:t>
      </w:r>
    </w:p>
    <w:p>
      <w:pPr>
        <w:pBdr>
          <w:bottom w:val="single" w:color="C9A84C" w:sz="6" w:space="1"/>
        </w:pBdr>
        <w:spacing w:after="200" w:before="200"/>
      </w:pPr>
    </w:p>
    <w:p>
      <w:pPr>
        <w:pStyle w:val="Heading1"/>
        <w:pBdr>
          <w:bottom w:val="single" w:color="C9A84C" w:sz="4" w:space="4"/>
        </w:pBdr>
        <w:spacing w:after="200" w:before="360"/>
      </w:pPr>
      <w:r>
        <w:rPr>
          <w:rFonts w:ascii="Georgia" w:cs="Georgia" w:eastAsia="Georgia" w:hAnsi="Georgia"/>
          <w:b/>
          <w:bCs/>
          <w:color w:val="0C1A2E"/>
          <w:sz w:val="26"/>
          <w:szCs w:val="26"/>
        </w:rPr>
        <w:t xml:space="preserve">8. Acceptance</w:t>
      </w:r>
    </w:p>
    <w:p>
      <w:pPr>
        <w:spacing w:after="200"/>
        <w:jc w:val="both"/>
      </w:pPr>
      <w:r>
        <w:rPr>
          <w:rFonts w:ascii="Georgia" w:cs="Georgia" w:eastAsia="Georgia" w:hAnsi="Georgia"/>
          <w:b w:val="false"/>
          <w:bCs w:val="false"/>
          <w:i w:val="false"/>
          <w:iCs w:val="false"/>
          <w:color w:val="3A4A5C"/>
          <w:sz w:val="22"/>
          <w:szCs w:val="22"/>
        </w:rPr>
        <w:t xml:space="preserve">This proposal is valid for thirty (30) days from the date above. To accept, please sign below and return a copy to IBPROM Corp at j@josephsoares.com along with payment of the first and last month retainer.</w:t>
      </w:r>
    </w:p>
    <w:p>
      <w:pPr>
        <w:spacing w:after="300"/>
      </w:pP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4536"/>
        <w:gridCol w:w="4536"/>
      </w:tblGrid>
      <w:tr>
        <w:trPr>
          <w:tblHeader/>
        </w:trPr>
      </w:tr>
    </w:tbl>
    <w:p>
      <w:pPr>
        <w:spacing w:after="60"/>
        <w:jc w:val="both"/>
      </w:pPr>
      <w:r>
        <w:rPr>
          <w:rFonts w:ascii="Georgia" w:cs="Georgia" w:eastAsia="Georgia" w:hAnsi="Georgia"/>
          <w:b/>
          <w:bCs/>
          <w:i w:val="false"/>
          <w:iCs w:val="false"/>
          <w:color w:val="3A4A5C"/>
          <w:sz w:val="22"/>
          <w:szCs w:val="22"/>
        </w:rPr>
        <w:t xml:space="preserve">Signature:</w:t>
      </w:r>
    </w:p>
    <w:p>
      <w:pPr>
        <w:pBdr>
          <w:bottom w:val="single" w:color="3A4A5C" w:sz="1" w:space="1"/>
        </w:pBdr>
        <w:spacing w:after="60"/>
      </w:pPr>
      <w:r>
        <w:rPr>
          <w:rFonts w:ascii="Georgia" w:cs="Georgia" w:eastAsia="Georgia" w:hAnsi="Georgia"/>
          <w:sz w:val="22"/>
          <w:szCs w:val="22"/>
        </w:rPr>
        <w:t xml:space="preserve">                                                            </w:t>
      </w:r>
    </w:p>
    <w:p>
      <w:pPr>
        <w:spacing w:after="60"/>
        <w:jc w:val="both"/>
      </w:pPr>
      <w:r>
        <w:rPr>
          <w:rFonts w:ascii="Georgia" w:cs="Georgia" w:eastAsia="Georgia" w:hAnsi="Georgia"/>
          <w:b/>
          <w:bCs/>
          <w:i w:val="false"/>
          <w:iCs w:val="false"/>
          <w:color w:val="3A4A5C"/>
          <w:sz w:val="22"/>
          <w:szCs w:val="22"/>
        </w:rPr>
        <w:t xml:space="preserve">Dr. Nader Dormani</w:t>
      </w:r>
    </w:p>
    <w:p>
      <w:pPr>
        <w:spacing w:after="40"/>
      </w:pPr>
    </w:p>
    <w:p>
      <w:pPr>
        <w:spacing w:after="60"/>
        <w:jc w:val="both"/>
      </w:pPr>
      <w:r>
        <w:rPr>
          <w:rFonts w:ascii="Georgia" w:cs="Georgia" w:eastAsia="Georgia" w:hAnsi="Georgia"/>
          <w:b/>
          <w:bCs/>
          <w:i w:val="false"/>
          <w:iCs w:val="false"/>
          <w:color w:val="3A4A5C"/>
          <w:sz w:val="22"/>
          <w:szCs w:val="22"/>
        </w:rPr>
        <w:t xml:space="preserve">Date:</w:t>
      </w:r>
    </w:p>
    <w:p>
      <w:pPr>
        <w:pBdr>
          <w:bottom w:val="single" w:color="3A4A5C" w:sz="1" w:space="1"/>
        </w:pBdr>
        <w:spacing w:after="60"/>
      </w:pPr>
      <w:r>
        <w:rPr>
          <w:rFonts w:ascii="Georgia" w:cs="Georgia" w:eastAsia="Georgia" w:hAnsi="Georgia"/>
          <w:sz w:val="22"/>
          <w:szCs w:val="22"/>
        </w:rPr>
        <w:t xml:space="preserve">                                                            </w:t>
      </w:r>
    </w:p>
    <w:p>
      <w:pPr>
        <w:spacing w:after="300"/>
      </w:pPr>
    </w:p>
    <w:p>
      <w:pPr>
        <w:spacing w:after="60"/>
        <w:jc w:val="both"/>
      </w:pPr>
      <w:r>
        <w:rPr>
          <w:rFonts w:ascii="Georgia" w:cs="Georgia" w:eastAsia="Georgia" w:hAnsi="Georgia"/>
          <w:b/>
          <w:bCs/>
          <w:i w:val="false"/>
          <w:iCs w:val="false"/>
          <w:color w:val="3A4A5C"/>
          <w:sz w:val="22"/>
          <w:szCs w:val="22"/>
        </w:rPr>
        <w:t xml:space="preserve">Signature:</w:t>
      </w:r>
    </w:p>
    <w:p>
      <w:pPr>
        <w:pBdr>
          <w:bottom w:val="single" w:color="3A4A5C" w:sz="1" w:space="1"/>
        </w:pBdr>
        <w:spacing w:after="60"/>
      </w:pPr>
      <w:r>
        <w:rPr>
          <w:rFonts w:ascii="Georgia" w:cs="Georgia" w:eastAsia="Georgia" w:hAnsi="Georgia"/>
          <w:sz w:val="22"/>
          <w:szCs w:val="22"/>
        </w:rPr>
        <w:t xml:space="preserve">                                                            </w:t>
      </w:r>
    </w:p>
    <w:p>
      <w:pPr>
        <w:spacing w:after="60"/>
        <w:jc w:val="both"/>
      </w:pPr>
      <w:r>
        <w:rPr>
          <w:rFonts w:ascii="Georgia" w:cs="Georgia" w:eastAsia="Georgia" w:hAnsi="Georgia"/>
          <w:b/>
          <w:bCs/>
          <w:i w:val="false"/>
          <w:iCs w:val="false"/>
          <w:color w:val="3A4A5C"/>
          <w:sz w:val="22"/>
          <w:szCs w:val="22"/>
        </w:rPr>
        <w:t xml:space="preserve">Joseph Soares, MBA, Adm.A., PMP</w:t>
      </w:r>
    </w:p>
    <w:p>
      <w:pPr>
        <w:spacing w:after="60"/>
        <w:jc w:val="both"/>
      </w:pPr>
      <w:r>
        <w:rPr>
          <w:rFonts w:ascii="Georgia" w:cs="Georgia" w:eastAsia="Georgia" w:hAnsi="Georgia"/>
          <w:b w:val="false"/>
          <w:bCs w:val="false"/>
          <w:i/>
          <w:iCs/>
          <w:color w:val="3A4A5C"/>
          <w:sz w:val="22"/>
          <w:szCs w:val="22"/>
        </w:rPr>
        <w:t xml:space="preserve">President, IBPROM Corp</w:t>
      </w:r>
    </w:p>
    <w:p>
      <w:pPr>
        <w:spacing w:after="40"/>
      </w:pPr>
    </w:p>
    <w:p>
      <w:pPr>
        <w:spacing w:after="60"/>
        <w:jc w:val="both"/>
      </w:pPr>
      <w:r>
        <w:rPr>
          <w:rFonts w:ascii="Georgia" w:cs="Georgia" w:eastAsia="Georgia" w:hAnsi="Georgia"/>
          <w:b w:val="false"/>
          <w:bCs w:val="false"/>
          <w:i w:val="false"/>
          <w:iCs w:val="false"/>
          <w:color w:val="3A4A5C"/>
          <w:sz w:val="22"/>
          <w:szCs w:val="22"/>
        </w:rPr>
        <w:t xml:space="preserve">Date: April 11, 2026</w:t>
      </w:r>
    </w:p>
    <w:p>
      <w:pPr>
        <w:pBdr>
          <w:bottom w:val="single" w:color="C9A84C" w:sz="6" w:space="1"/>
        </w:pBdr>
        <w:spacing w:after="200" w:before="200"/>
      </w:pPr>
    </w:p>
    <w:p>
      <w:pPr>
        <w:spacing w:after="80"/>
      </w:pPr>
    </w:p>
    <w:p>
      <w:pPr>
        <w:spacing w:after="60"/>
        <w:jc w:val="center"/>
      </w:pPr>
      <w:r>
        <w:rPr>
          <w:rFonts w:ascii="Georgia" w:cs="Georgia" w:eastAsia="Georgia" w:hAnsi="Georgia"/>
          <w:b/>
          <w:bCs/>
          <w:color w:val="0C1A2E"/>
          <w:sz w:val="22"/>
          <w:szCs w:val="22"/>
        </w:rPr>
        <w:t xml:space="preserve">IBPROM Corp</w:t>
      </w:r>
    </w:p>
    <w:p>
      <w:pPr>
        <w:spacing w:after="60"/>
        <w:jc w:val="center"/>
      </w:pPr>
      <w:r>
        <w:rPr>
          <w:rFonts w:ascii="Georgia" w:cs="Georgia" w:eastAsia="Georgia" w:hAnsi="Georgia"/>
          <w:color w:val="3A4A5C"/>
          <w:sz w:val="18"/>
          <w:szCs w:val="18"/>
        </w:rPr>
        <w:t xml:space="preserve">legal@josephsoares.com  |  josephsoares.com</w:t>
      </w:r>
    </w:p>
    <w:p>
      <w:pPr>
        <w:spacing w:after="60"/>
        <w:jc w:val="center"/>
      </w:pPr>
      <w:r>
        <w:rPr>
          <w:rFonts w:ascii="Georgia" w:cs="Georgia" w:eastAsia="Georgia" w:hAnsi="Georgia"/>
          <w:color w:val="3A4A5C"/>
          <w:sz w:val="18"/>
          <w:szCs w:val="18"/>
        </w:rPr>
        <w:t xml:space="preserve">Gatineau, Quebec  |  Ontario Corporation</w:t>
      </w:r>
    </w:p>
    <w:sectPr>
      <w:headerReference w:type="default" r:id="rId7"/>
      <w:footerReference w:type="default" r:id="rId8"/>
      <w:pgSz w:w="12240" w:h="15840" w:orient="portrait"/>
      <w:pgMar w:top="1440" w:right="1584" w:bottom="1440" w:left="158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A84C" w:sz="2" w:space="4"/>
      </w:pBdr>
      <w:jc w:val="center"/>
    </w:pPr>
    <w:r>
      <w:rPr>
        <w:rFonts w:ascii="Georgia" w:cs="Georgia" w:eastAsia="Georgia" w:hAnsi="Georgia"/>
        <w:color w:val="3A4A5C"/>
        <w:sz w:val="14"/>
        <w:szCs w:val="14"/>
      </w:rPr>
      <w:t xml:space="preserve">Confidential  |  IBPROM Corp  |  Page </w:t>
    </w:r>
    <w:r>
      <w:rPr>
        <w:rFonts w:ascii="Georgia" w:cs="Georgia" w:eastAsia="Georgia" w:hAnsi="Georgia"/>
        <w:color w:val="3A4A5C"/>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84C" w:sz="2" w:space="4"/>
      </w:pBdr>
      <w:jc w:val="right"/>
    </w:pPr>
    <w:r>
      <w:rPr>
        <w:rFonts w:ascii="Georgia" w:cs="Georgia" w:eastAsia="Georgia" w:hAnsi="Georgia"/>
        <w:b/>
        <w:bCs/>
        <w:color w:val="0C1A2E"/>
        <w:sz w:val="16"/>
        <w:szCs w:val="16"/>
      </w:rPr>
      <w:t xml:space="preserve">IBPROM Corp</w:t>
    </w:r>
    <w:r>
      <w:rPr>
        <w:rFonts w:ascii="Georgia" w:cs="Georgia" w:eastAsia="Georgia" w:hAnsi="Georgia"/>
        <w:color w:val="3A4A5C"/>
        <w:sz w:val="16"/>
        <w:szCs w:val="16"/>
      </w:rPr>
      <w:t xml:space="preserve">  |  Consulting Services Proposal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Georgia" w:cs="Georgia" w:eastAsia="Georgia" w:hAnsi="Georgia"/>
      <w:b/>
      <w:bCs/>
      <w:color w:val="0C1A2E"/>
      <w:sz w:val="26"/>
      <w:szCs w:val="26"/>
    </w:rPr>
  </w:style>
  <w:style w:type="paragraph" w:styleId="Heading2">
    <w:name w:val="Heading 2"/>
    <w:basedOn w:val="Normal"/>
    <w:next w:val="Normal"/>
    <w:qFormat/>
    <w:pPr>
      <w:spacing w:after="160" w:before="280"/>
      <w:outlineLvl w:val="1"/>
    </w:pPr>
    <w:rPr>
      <w:rFonts w:ascii="Georgia" w:cs="Georgia" w:eastAsia="Georgia" w:hAnsi="Georgia"/>
      <w:b/>
      <w:bCs/>
      <w:color w:val="0C1A2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2026-04-11T18:15:50.178Z</dcterms:created>
  <dcterms:modified xsi:type="dcterms:W3CDTF">2026-04-11T18:15:50.179Z</dcterms:modified>
</cp:coreProperties>
</file>

<file path=docProps/custom.xml><?xml version="1.0" encoding="utf-8"?>
<Properties xmlns="http://schemas.openxmlformats.org/officeDocument/2006/custom-properties" xmlns:vt="http://schemas.openxmlformats.org/officeDocument/2006/docPropsVTypes"/>
</file>