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Georgia" w:cs="Georgia" w:eastAsia="Georgia" w:hAnsi="Georgia"/>
          <w:b/>
          <w:bCs/>
          <w:color w:val="0C1A2E"/>
          <w:sz w:val="40"/>
          <w:szCs w:val="40"/>
        </w:rPr>
        <w:t xml:space="preserve">PROPOSITION DE SERVICES-CONSEILS</w:t>
      </w:r>
    </w:p>
    <w:p>
      <w:pPr>
        <w:spacing w:after="60"/>
        <w:jc w:val="center"/>
      </w:pPr>
      <w:r>
        <w:rPr>
          <w:rFonts w:ascii="Georgia" w:cs="Georgia" w:eastAsia="Georgia" w:hAnsi="Georgia"/>
          <w:color w:val="C9A84C"/>
          <w:sz w:val="36"/>
          <w:szCs w:val="36"/>
        </w:rPr>
        <w:t xml:space="preserve">—</w:t>
      </w:r>
    </w:p>
    <w:p>
      <w:pPr>
        <w:spacing w:after="200"/>
        <w:jc w:val="center"/>
      </w:pPr>
      <w:r>
        <w:rPr>
          <w:rFonts w:ascii="Georgia" w:cs="Georgia" w:eastAsia="Georgia" w:hAnsi="Georgia"/>
          <w:color w:val="3A4A5C"/>
          <w:sz w:val="28"/>
          <w:szCs w:val="28"/>
        </w:rPr>
        <w:t xml:space="preserve">Étude de faisabilité — Salon-académie hybride</w:t>
      </w:r>
    </w:p>
    <w:p>
      <w:pPr>
        <w:spacing w:after="100"/>
        <w:jc w:val="center"/>
      </w:pPr>
      <w:r>
        <w:rPr>
          <w:rFonts w:ascii="Georgia" w:cs="Georgia" w:eastAsia="Georgia" w:hAnsi="Georgia"/>
          <w:color w:val="3A4A5C"/>
          <w:sz w:val="24"/>
          <w:szCs w:val="24"/>
        </w:rPr>
        <w:t xml:space="preserve">Conseil stratégique et accompagnement en financement gouvernemental</w:t>
      </w:r>
    </w:p>
    <w:p>
      <w:pPr>
        <w:spacing w:after="200"/>
      </w:pPr>
    </w:p>
    <w:p>
      <w:pPr>
        <w:spacing w:after="200"/>
      </w:pPr>
    </w:p>
    <w:p>
      <w:pPr>
        <w:spacing w:after="200"/>
      </w:pPr>
    </w:p>
    <w:p>
      <w:pPr>
        <w:spacing w:after="200"/>
      </w:pPr>
    </w:p>
    <w:p>
      <w:pPr>
        <w:pBdr>
          <w:bottom w:val="single" w:color="C9A84C" w:sz="6" w:space="1"/>
        </w:pBdr>
        <w:spacing w:after="200" w:before="200"/>
        <w:jc w:val="center"/>
      </w:pPr>
    </w:p>
    <w:p>
      <w:pPr>
        <w:spacing w:after="60"/>
        <w:jc w:val="center"/>
      </w:pPr>
      <w:r>
        <w:rPr>
          <w:rFonts w:ascii="Georgia" w:cs="Georgia" w:eastAsia="Georgia" w:hAnsi="Georgia"/>
          <w:i/>
          <w:iCs/>
          <w:color w:val="3A4A5C"/>
          <w:sz w:val="20"/>
          <w:szCs w:val="20"/>
        </w:rPr>
        <w:t xml:space="preserve">Préparé pour</w:t>
      </w:r>
    </w:p>
    <w:p>
      <w:pPr>
        <w:spacing w:after="200"/>
        <w:jc w:val="center"/>
      </w:pPr>
      <w:r>
        <w:rPr>
          <w:rFonts w:ascii="Georgia" w:cs="Georgia" w:eastAsia="Georgia" w:hAnsi="Georgia"/>
          <w:b/>
          <w:bCs/>
          <w:color w:val="0C1A2E"/>
          <w:sz w:val="26"/>
          <w:szCs w:val="26"/>
        </w:rPr>
        <w:t xml:space="preserve">Dr Nader Dormani</w:t>
      </w:r>
    </w:p>
    <w:p>
      <w:pPr>
        <w:spacing w:after="200"/>
      </w:pPr>
    </w:p>
    <w:p>
      <w:pPr>
        <w:spacing w:after="60"/>
        <w:jc w:val="center"/>
      </w:pPr>
      <w:r>
        <w:rPr>
          <w:rFonts w:ascii="Georgia" w:cs="Georgia" w:eastAsia="Georgia" w:hAnsi="Georgia"/>
          <w:i/>
          <w:iCs/>
          <w:color w:val="3A4A5C"/>
          <w:sz w:val="20"/>
          <w:szCs w:val="20"/>
        </w:rPr>
        <w:t xml:space="preserve">Préparé par</w:t>
      </w:r>
    </w:p>
    <w:p>
      <w:pPr>
        <w:spacing w:after="60"/>
        <w:jc w:val="center"/>
      </w:pPr>
      <w:r>
        <w:rPr>
          <w:rFonts w:ascii="Georgia" w:cs="Georgia" w:eastAsia="Georgia" w:hAnsi="Georgia"/>
          <w:b/>
          <w:bCs/>
          <w:color w:val="0C1A2E"/>
          <w:sz w:val="24"/>
          <w:szCs w:val="24"/>
        </w:rPr>
        <w:t xml:space="preserve">Joseph Soares, MBA, Adm.A., PMP</w:t>
      </w:r>
    </w:p>
    <w:p>
      <w:pPr>
        <w:spacing w:after="60"/>
        <w:jc w:val="center"/>
      </w:pPr>
      <w:r>
        <w:rPr>
          <w:rFonts w:ascii="Georgia" w:cs="Georgia" w:eastAsia="Georgia" w:hAnsi="Georgia"/>
          <w:color w:val="3A4A5C"/>
          <w:sz w:val="20"/>
          <w:szCs w:val="20"/>
        </w:rPr>
        <w:t xml:space="preserve">Président, IBPROM Corp</w:t>
      </w:r>
    </w:p>
    <w:p>
      <w:pPr>
        <w:spacing w:after="200"/>
        <w:jc w:val="center"/>
      </w:pPr>
      <w:r>
        <w:rPr>
          <w:rFonts w:ascii="Georgia" w:cs="Georgia" w:eastAsia="Georgia" w:hAnsi="Georgia"/>
          <w:color w:val="3A4A5C"/>
          <w:sz w:val="20"/>
          <w:szCs w:val="20"/>
        </w:rPr>
        <w:t xml:space="preserve">j@josephsoares.com</w:t>
      </w:r>
    </w:p>
    <w:p>
      <w:pPr>
        <w:spacing w:after="200"/>
      </w:pPr>
    </w:p>
    <w:p>
      <w:pPr>
        <w:spacing w:after="200"/>
      </w:pPr>
    </w:p>
    <w:p>
      <w:pPr>
        <w:spacing w:after="200"/>
      </w:pPr>
    </w:p>
    <w:p>
      <w:pPr>
        <w:spacing w:after="0"/>
        <w:jc w:val="center"/>
      </w:pPr>
      <w:r>
        <w:rPr>
          <w:rFonts w:ascii="Georgia" w:cs="Georgia" w:eastAsia="Georgia" w:hAnsi="Georgia"/>
          <w:color w:val="3A4A5C"/>
          <w:sz w:val="20"/>
          <w:szCs w:val="20"/>
        </w:rPr>
        <w:t xml:space="preserve">Le 11 avril 2026</w:t>
      </w:r>
    </w:p>
    <w:p>
      <w:pPr>
        <w:spacing w:after="0"/>
        <w:jc w:val="center"/>
      </w:pPr>
      <w:r>
        <w:rPr>
          <w:rFonts w:ascii="Georgia" w:cs="Georgia" w:eastAsia="Georgia" w:hAnsi="Georgia"/>
          <w:b/>
          <w:bCs/>
          <w:color w:val="C9A84C"/>
          <w:sz w:val="18"/>
          <w:szCs w:val="18"/>
        </w:rPr>
        <w:t xml:space="preserve">CONFIDENTIEL</w:t>
      </w:r>
    </w:p>
    <w:p>
      <w:pPr>
        <w:sectPr>
          <w:pgSz w:w="12240" w:h="15840" w:orient="portrait"/>
          <w:pgMar w:top="0" w:right="0" w:bottom="0" w:left="0" w:header="708" w:footer="708" w:gutter="0"/>
          <w:pgNumType/>
          <w:docGrid w:linePitch="360"/>
        </w:sectPr>
      </w:pPr>
    </w:p>
    <w:p>
      <w:pPr>
        <w:pStyle w:val="Heading1"/>
        <w:pBdr>
          <w:bottom w:val="single" w:color="C9A84C" w:sz="4" w:space="4"/>
        </w:pBdr>
        <w:spacing w:after="200" w:before="360"/>
      </w:pPr>
      <w:r>
        <w:rPr>
          <w:rFonts w:ascii="Georgia" w:cs="Georgia" w:eastAsia="Georgia" w:hAnsi="Georgia"/>
          <w:b/>
          <w:bCs/>
          <w:color w:val="0C1A2E"/>
          <w:sz w:val="26"/>
          <w:szCs w:val="26"/>
        </w:rPr>
        <w:t xml:space="preserve">1. Introduction</w:t>
      </w:r>
    </w:p>
    <w:p>
      <w:pPr>
        <w:spacing w:after="200"/>
        <w:jc w:val="both"/>
      </w:pPr>
      <w:r>
        <w:rPr>
          <w:rFonts w:ascii="Georgia" w:cs="Georgia" w:eastAsia="Georgia" w:hAnsi="Georgia"/>
          <w:color w:val="3A4A5C"/>
          <w:sz w:val="22"/>
          <w:szCs w:val="22"/>
        </w:rPr>
        <w:t xml:space="preserve">IBPROM Corp est une firme de conseil stratégique dirigée par Joseph Soares, MBA, Adm.A., PMP. M. Soares apporte une expérience de calibre institutionnel au secteur privé, ayant œuvré comme conseiller du Premier ministre du Canada lors de la crise financière mondiale de 2008 et comme chef de cabinet au Sénat du Canada pendant la pandémie de COVID-19. Ses travaux ont été publiés dans </w:t>
      </w:r>
      <w:r>
        <w:rPr>
          <w:rFonts w:ascii="Georgia" w:cs="Georgia" w:eastAsia="Georgia" w:hAnsi="Georgia"/>
          <w:i/>
          <w:iCs/>
          <w:color w:val="3A4A5C"/>
          <w:sz w:val="22"/>
          <w:szCs w:val="22"/>
        </w:rPr>
        <w:t xml:space="preserve">Forbes</w:t>
      </w:r>
      <w:r>
        <w:rPr>
          <w:rFonts w:ascii="Georgia" w:cs="Georgia" w:eastAsia="Georgia" w:hAnsi="Georgia"/>
          <w:color w:val="3A4A5C"/>
          <w:sz w:val="22"/>
          <w:szCs w:val="22"/>
        </w:rPr>
        <w:t xml:space="preserve"> et </w:t>
      </w:r>
      <w:r>
        <w:rPr>
          <w:rFonts w:ascii="Georgia" w:cs="Georgia" w:eastAsia="Georgia" w:hAnsi="Georgia"/>
          <w:i/>
          <w:iCs/>
          <w:color w:val="3A4A5C"/>
          <w:sz w:val="22"/>
          <w:szCs w:val="22"/>
        </w:rPr>
        <w:t xml:space="preserve">Newsweek</w:t>
      </w:r>
      <w:r>
        <w:rPr>
          <w:rFonts w:ascii="Georgia" w:cs="Georgia" w:eastAsia="Georgia" w:hAnsi="Georgia"/>
          <w:color w:val="3A4A5C"/>
          <w:sz w:val="22"/>
          <w:szCs w:val="22"/>
        </w:rPr>
        <w:t xml:space="preserve"> sur des questions de gouvernance, de prise de décision et de gestion de crises.</w:t>
      </w:r>
    </w:p>
    <w:p>
      <w:pPr>
        <w:spacing w:after="200"/>
        <w:jc w:val="both"/>
      </w:pPr>
      <w:r>
        <w:rPr>
          <w:rFonts w:ascii="Georgia" w:cs="Georgia" w:eastAsia="Georgia" w:hAnsi="Georgia"/>
          <w:b w:val="false"/>
          <w:bCs w:val="false"/>
          <w:i w:val="false"/>
          <w:iCs w:val="false"/>
          <w:color w:val="3A4A5C"/>
          <w:sz w:val="22"/>
          <w:szCs w:val="22"/>
        </w:rPr>
        <w:t xml:space="preserve">La présente proposition décrit la portée, les livrables, l’échéancier et les honoraires relatifs à un mandat complet d’étude de faisabilité et de conseil stratégique portant sur les propriétés situées au 179 et 191, Promenade du Portage, Gatineau, Québec.</w:t>
      </w:r>
    </w:p>
    <w:p>
      <w:pPr>
        <w:spacing w:after="200"/>
        <w:jc w:val="both"/>
      </w:pPr>
      <w:r>
        <w:rPr>
          <w:rFonts w:ascii="Georgia" w:cs="Georgia" w:eastAsia="Georgia" w:hAnsi="Georgia"/>
          <w:b w:val="false"/>
          <w:bCs w:val="false"/>
          <w:i w:val="false"/>
          <w:iCs w:val="false"/>
          <w:color w:val="3A4A5C"/>
          <w:sz w:val="22"/>
          <w:szCs w:val="22"/>
        </w:rPr>
        <w:t xml:space="preserve">Ce mandat vise à déterminer la viabilité d’un modèle de salon-académie hybride au sein de l’infrastructure commerciale existante, à identifier et obtenir le financement gouvernemental applicable, et à positionner la propriété pour une création de valeur à long terme par l’entremise de programmes éducatifs.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2. Contexte du client</w:t>
      </w:r>
    </w:p>
    <w:p>
      <w:pPr>
        <w:spacing w:after="200"/>
        <w:jc w:val="both"/>
      </w:pPr>
      <w:r>
        <w:rPr>
          <w:rFonts w:ascii="Georgia" w:cs="Georgia" w:eastAsia="Georgia" w:hAnsi="Georgia"/>
          <w:b w:val="false"/>
          <w:bCs w:val="false"/>
          <w:i w:val="false"/>
          <w:iCs w:val="false"/>
          <w:color w:val="3A4A5C"/>
          <w:sz w:val="22"/>
          <w:szCs w:val="22"/>
        </w:rPr>
        <w:t xml:space="preserve">Le Dr Nader Dormani est le dirigeant du Groupe Dormani, un groupe d’affaires diversifié dont les activités couvrent la vente au détail automobile, l’immobilier commercial, le développement résidentiel et les terrains de développement dans la région de l’Outaouais. Le portefeuille comprend des concessionnaires automobiles (Mitsubishi, Nissan, Infiniti et Mazda), des propriétés commerciales au 179 et 191, Promenade du Portage au centre-ville de Gatineau, le développement à usage mixte La Cité (espaces commerciaux et tours résidentielles de plus de 200 logements), ainsi que des terrains de développement importants incluant le site de La Cité Phase 2 et des terrains à Chelsea.</w:t>
      </w:r>
    </w:p>
    <w:p>
      <w:pPr>
        <w:spacing w:after="200"/>
        <w:jc w:val="both"/>
      </w:pPr>
      <w:r>
        <w:rPr>
          <w:rFonts w:ascii="Georgia" w:cs="Georgia" w:eastAsia="Georgia" w:hAnsi="Georgia"/>
          <w:b w:val="false"/>
          <w:bCs w:val="false"/>
          <w:i w:val="false"/>
          <w:iCs w:val="false"/>
          <w:color w:val="3A4A5C"/>
          <w:sz w:val="22"/>
          <w:szCs w:val="22"/>
        </w:rPr>
        <w:t xml:space="preserve">Les propriétés commerciales du 179 et 191, Promenade du Portage sont situées dans un corridor en pleine transition économique, marquée par le déplacement de la main-d’œuvre fédérale, les taux d’inoccupation commerciale post-pandémie et l’évolution des priorités municipales. La composition actuelle des locataires commerciaux et de détail à ces adresses présente une occasion de repositionnement stratégique.</w:t>
      </w:r>
    </w:p>
    <w:p>
      <w:pPr>
        <w:spacing w:after="200"/>
        <w:jc w:val="both"/>
      </w:pPr>
      <w:r>
        <w:rPr>
          <w:rFonts w:ascii="Georgia" w:cs="Georgia" w:eastAsia="Georgia" w:hAnsi="Georgia"/>
          <w:b w:val="false"/>
          <w:bCs w:val="false"/>
          <w:i w:val="false"/>
          <w:iCs w:val="false"/>
          <w:color w:val="3A4A5C"/>
          <w:sz w:val="22"/>
          <w:szCs w:val="22"/>
        </w:rPr>
        <w:t xml:space="preserve">L’intégration d’un modèle de salon-académie à vocation éducative au rez-de-chaussée du 179, Promenade du Portage offre une voie vers des revenus stables et diversifiés, une réduction du risque d’inoccupation, une valorisation immobilière accrue et un alignement avec les priorités gouvernementales aux trois ordres de gouvernement. Ce concept constitue l’objet du présent mandat, étant entendu que la relation de conseil stratégique pourra s’étendre à d’autres éléments du portefeuille au fur et à mesure de l’avancement du mandat.</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3. Portée du mandat</w:t>
      </w:r>
    </w:p>
    <w:p>
      <w:pPr>
        <w:spacing w:after="200"/>
        <w:jc w:val="both"/>
      </w:pPr>
      <w:r>
        <w:rPr>
          <w:rFonts w:ascii="Georgia" w:cs="Georgia" w:eastAsia="Georgia" w:hAnsi="Georgia"/>
          <w:b w:val="false"/>
          <w:bCs w:val="false"/>
          <w:i w:val="false"/>
          <w:iCs w:val="false"/>
          <w:color w:val="3A4A5C"/>
          <w:sz w:val="22"/>
          <w:szCs w:val="22"/>
        </w:rPr>
        <w:t xml:space="preserve">Le mandat comprend trois volets de travail interreliés :</w:t>
      </w:r>
    </w:p>
    <w:p>
      <w:pPr>
        <w:pStyle w:val="Heading2"/>
        <w:spacing w:after="160" w:before="280"/>
      </w:pPr>
      <w:r>
        <w:rPr>
          <w:rFonts w:ascii="Georgia" w:cs="Georgia" w:eastAsia="Georgia" w:hAnsi="Georgia"/>
          <w:b/>
          <w:bCs/>
          <w:color w:val="0C1A2E"/>
          <w:sz w:val="22"/>
          <w:szCs w:val="22"/>
        </w:rPr>
        <w:t xml:space="preserve">3.1 Étude de faisabilité — Modèle de salon-académie hybride</w:t>
      </w:r>
    </w:p>
    <w:p>
      <w:pPr>
        <w:pStyle w:val="ListParagraph"/>
        <w:numPr>
          <w:ilvl w:val="0"/>
          <w:numId w:val="2"/>
        </w:numPr>
        <w:spacing w:after="100"/>
      </w:pPr>
      <w:r>
        <w:rPr>
          <w:rFonts w:ascii="Georgia" w:cs="Georgia" w:eastAsia="Georgia" w:hAnsi="Georgia"/>
          <w:color w:val="3A4A5C"/>
          <w:sz w:val="22"/>
          <w:szCs w:val="22"/>
        </w:rPr>
        <w:t xml:space="preserve">Analyse de marché : demande en formation en cosmétologie et coiffure dans la région de l’Outaouais, paysage concurrentiel, tendances démographiques et du marché du travail</w:t>
      </w:r>
    </w:p>
    <w:p>
      <w:pPr>
        <w:pStyle w:val="ListParagraph"/>
        <w:numPr>
          <w:ilvl w:val="0"/>
          <w:numId w:val="2"/>
        </w:numPr>
        <w:spacing w:after="100"/>
      </w:pPr>
      <w:r>
        <w:rPr>
          <w:rFonts w:ascii="Georgia" w:cs="Georgia" w:eastAsia="Georgia" w:hAnsi="Georgia"/>
          <w:color w:val="3A4A5C"/>
          <w:sz w:val="22"/>
          <w:szCs w:val="22"/>
        </w:rPr>
        <w:t xml:space="preserve">Revue réglementaire : exigences de permis d’Emploi-Québec, intégration au Programme d’apprentissage en milieu de travail (PAMT), cheminements d’accréditation institutionnelle</w:t>
      </w:r>
    </w:p>
    <w:p>
      <w:pPr>
        <w:pStyle w:val="ListParagraph"/>
        <w:numPr>
          <w:ilvl w:val="0"/>
          <w:numId w:val="2"/>
        </w:numPr>
        <w:spacing w:after="100"/>
      </w:pPr>
      <w:r>
        <w:rPr>
          <w:rFonts w:ascii="Georgia" w:cs="Georgia" w:eastAsia="Georgia" w:hAnsi="Georgia"/>
          <w:color w:val="3A4A5C"/>
          <w:sz w:val="22"/>
          <w:szCs w:val="22"/>
        </w:rPr>
        <w:t xml:space="preserve">Modélisation financière : projections de revenus, coûts d’exploitation, revenu net d’exploitation (RNE), analyse du seuil de rentabilité et rendement de l’investissement</w:t>
      </w:r>
    </w:p>
    <w:p>
      <w:pPr>
        <w:pStyle w:val="ListParagraph"/>
        <w:numPr>
          <w:ilvl w:val="0"/>
          <w:numId w:val="2"/>
        </w:numPr>
        <w:spacing w:after="100"/>
      </w:pPr>
      <w:r>
        <w:rPr>
          <w:rFonts w:ascii="Georgia" w:cs="Georgia" w:eastAsia="Georgia" w:hAnsi="Georgia"/>
          <w:color w:val="3A4A5C"/>
          <w:sz w:val="22"/>
          <w:szCs w:val="22"/>
        </w:rPr>
        <w:t xml:space="preserve">Planification spatiale : évaluation préliminaire des exigences physiques pour l’exploitation d’un salon-académie dans l’empreinte bâtie existante</w:t>
      </w:r>
    </w:p>
    <w:p>
      <w:pPr>
        <w:pStyle w:val="ListParagraph"/>
        <w:numPr>
          <w:ilvl w:val="0"/>
          <w:numId w:val="2"/>
        </w:numPr>
        <w:spacing w:after="100"/>
      </w:pPr>
      <w:r>
        <w:rPr>
          <w:rFonts w:ascii="Georgia" w:cs="Georgia" w:eastAsia="Georgia" w:hAnsi="Georgia"/>
          <w:color w:val="3A4A5C"/>
          <w:sz w:val="22"/>
          <w:szCs w:val="22"/>
        </w:rPr>
        <w:t xml:space="preserve">Analyse de la contribution sociale : positionnement du salon-académie comme actif communautaire au service du développement de la main-d’œuvre, de l’emploi jeunesse et de l’éducation francophone</w:t>
      </w:r>
    </w:p>
    <w:p>
      <w:pPr>
        <w:pStyle w:val="Heading2"/>
        <w:spacing w:after="160" w:before="280"/>
      </w:pPr>
      <w:r>
        <w:rPr>
          <w:rFonts w:ascii="Georgia" w:cs="Georgia" w:eastAsia="Georgia" w:hAnsi="Georgia"/>
          <w:b/>
          <w:bCs/>
          <w:color w:val="0C1A2E"/>
          <w:sz w:val="22"/>
          <w:szCs w:val="22"/>
        </w:rPr>
        <w:t xml:space="preserve">3.2 Stratégie de financement gouvernemental</w:t>
      </w:r>
    </w:p>
    <w:p>
      <w:pPr>
        <w:pStyle w:val="ListParagraph"/>
        <w:numPr>
          <w:ilvl w:val="0"/>
          <w:numId w:val="2"/>
        </w:numPr>
        <w:spacing w:after="100"/>
      </w:pPr>
      <w:r>
        <w:rPr>
          <w:rFonts w:ascii="Georgia" w:cs="Georgia" w:eastAsia="Georgia" w:hAnsi="Georgia"/>
          <w:color w:val="3A4A5C"/>
          <w:sz w:val="22"/>
          <w:szCs w:val="22"/>
        </w:rPr>
        <w:t xml:space="preserve">Identification et priorisation des programmes de financement applicables aux paliers fédéral, provincial et municipal</w:t>
      </w:r>
    </w:p>
    <w:p>
      <w:pPr>
        <w:pStyle w:val="ListParagraph"/>
        <w:numPr>
          <w:ilvl w:val="0"/>
          <w:numId w:val="2"/>
        </w:numPr>
        <w:spacing w:after="100"/>
      </w:pPr>
      <w:r>
        <w:rPr>
          <w:rFonts w:ascii="Georgia" w:cs="Georgia" w:eastAsia="Georgia" w:hAnsi="Georgia"/>
          <w:color w:val="3A4A5C"/>
          <w:sz w:val="22"/>
          <w:szCs w:val="22"/>
        </w:rPr>
        <w:t xml:space="preserve">Préparation des demandes de subventions initiales, à commencer par le programme ESSOR Volet 1A (Investissement Québec), prêtes à être soumises par l’entité requérante</w:t>
      </w:r>
    </w:p>
    <w:p>
      <w:pPr>
        <w:pStyle w:val="ListParagraph"/>
        <w:numPr>
          <w:ilvl w:val="0"/>
          <w:numId w:val="2"/>
        </w:numPr>
        <w:spacing w:after="100"/>
      </w:pPr>
      <w:r>
        <w:rPr>
          <w:rFonts w:ascii="Georgia" w:cs="Georgia" w:eastAsia="Georgia" w:hAnsi="Georgia"/>
          <w:color w:val="3A4A5C"/>
          <w:sz w:val="22"/>
          <w:szCs w:val="22"/>
        </w:rPr>
        <w:t xml:space="preserve">Élaboration d’une feuille de route multi-mandats conçue pour maximiser les remboursements de subventions et minimiser le coût net du client</w:t>
      </w:r>
    </w:p>
    <w:p>
      <w:pPr>
        <w:pStyle w:val="ListParagraph"/>
        <w:numPr>
          <w:ilvl w:val="0"/>
          <w:numId w:val="2"/>
        </w:numPr>
        <w:spacing w:after="100"/>
      </w:pPr>
      <w:r>
        <w:rPr>
          <w:rFonts w:ascii="Georgia" w:cs="Georgia" w:eastAsia="Georgia" w:hAnsi="Georgia"/>
          <w:color w:val="3A4A5C"/>
          <w:sz w:val="22"/>
          <w:szCs w:val="22"/>
        </w:rPr>
        <w:t xml:space="preserve">Liaison continue avec les organismes gouvernementaux concernés pendant le processus d’évaluation des demandes</w:t>
      </w:r>
    </w:p>
    <w:p>
      <w:pPr>
        <w:pStyle w:val="Heading2"/>
        <w:spacing w:after="160" w:before="280"/>
      </w:pPr>
      <w:r>
        <w:rPr>
          <w:rFonts w:ascii="Georgia" w:cs="Georgia" w:eastAsia="Georgia" w:hAnsi="Georgia"/>
          <w:b/>
          <w:bCs/>
          <w:color w:val="0C1A2E"/>
          <w:sz w:val="22"/>
          <w:szCs w:val="22"/>
        </w:rPr>
        <w:t xml:space="preserve">3.3 Conseil stratégique</w:t>
      </w:r>
    </w:p>
    <w:p>
      <w:pPr>
        <w:pStyle w:val="ListParagraph"/>
        <w:numPr>
          <w:ilvl w:val="0"/>
          <w:numId w:val="2"/>
        </w:numPr>
        <w:spacing w:after="100"/>
      </w:pPr>
      <w:r>
        <w:rPr>
          <w:rFonts w:ascii="Georgia" w:cs="Georgia" w:eastAsia="Georgia" w:hAnsi="Georgia"/>
          <w:color w:val="3A4A5C"/>
          <w:sz w:val="22"/>
          <w:szCs w:val="22"/>
        </w:rPr>
        <w:t xml:space="preserve">Stratégie de positionnement des propriétés dans le contexte économique évolutif du centre-ville de Gatineau</w:t>
      </w:r>
    </w:p>
    <w:p>
      <w:pPr>
        <w:pStyle w:val="ListParagraph"/>
        <w:numPr>
          <w:ilvl w:val="0"/>
          <w:numId w:val="2"/>
        </w:numPr>
        <w:spacing w:after="100"/>
      </w:pPr>
      <w:r>
        <w:rPr>
          <w:rFonts w:ascii="Georgia" w:cs="Georgia" w:eastAsia="Georgia" w:hAnsi="Georgia"/>
          <w:color w:val="3A4A5C"/>
          <w:sz w:val="22"/>
          <w:szCs w:val="22"/>
        </w:rPr>
        <w:t xml:space="preserve">Arrimage des parties prenantes : recommandations pour mobiliser les partenaires municipaux, provinciaux et fédéraux</w:t>
      </w:r>
    </w:p>
    <w:p>
      <w:pPr>
        <w:pStyle w:val="ListParagraph"/>
        <w:numPr>
          <w:ilvl w:val="0"/>
          <w:numId w:val="2"/>
        </w:numPr>
        <w:spacing w:after="100"/>
      </w:pPr>
      <w:r>
        <w:rPr>
          <w:rFonts w:ascii="Georgia" w:cs="Georgia" w:eastAsia="Georgia" w:hAnsi="Georgia"/>
          <w:color w:val="3A4A5C"/>
          <w:sz w:val="22"/>
          <w:szCs w:val="22"/>
        </w:rPr>
        <w:t xml:space="preserve">Conseil en gouvernance : recommandations structurelles pour la constitution d’entités, l’intégration d’un organisme à but non lucratif (OBNL) et la composition d’un conseil d’administration à mesure que le projet évolue</w:t>
      </w:r>
    </w:p>
    <w:p>
      <w:pPr>
        <w:pStyle w:val="ListParagraph"/>
        <w:numPr>
          <w:ilvl w:val="0"/>
          <w:numId w:val="2"/>
        </w:numPr>
        <w:spacing w:after="100"/>
      </w:pPr>
      <w:r>
        <w:rPr>
          <w:rFonts w:ascii="Georgia" w:cs="Georgia" w:eastAsia="Georgia" w:hAnsi="Georgia"/>
          <w:color w:val="3A4A5C"/>
          <w:sz w:val="22"/>
          <w:szCs w:val="22"/>
        </w:rPr>
        <w:t xml:space="preserve">Conseil stratégique continu en matière de prise de décision liée à la propriété, à la stratégie locative et aux partenariats institutionnels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4. Livrables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5972"/>
        <w:gridCol w:w="2500"/>
      </w:tblGrid>
      <w:tr>
        <w:trPr>
          <w:tblHeader/>
        </w:trPr>
        <w:tc>
          <w:tcPr>
            <w:tcW w:type="dxa" w:w="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N°</w:t>
            </w:r>
          </w:p>
        </w:tc>
        <w:tc>
          <w:tcPr>
            <w:tcW w:type="dxa" w:w="59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Livrable</w:t>
            </w:r>
          </w:p>
        </w:tc>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Date cible</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Analyse de faisabilité — Salon-académie hybride (AN + FR)</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Livré</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2</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Demande de subvention ESSOR Volet 1A (dossier complet, prêt à soumettre)</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14 avril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Feuille de route multi-mandats de financement</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Mai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Mémo stratégique : Positionnement de la propriété</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Mai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Recommandations de gouvernance et de structure d’entité</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Juin 2026</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w:t>
            </w:r>
          </w:p>
        </w:tc>
        <w:tc>
          <w:tcPr>
            <w:tcW w:type="dxa" w:w="59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Rapport final du mandat avec recommandations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Juin 2026</w:t>
            </w:r>
          </w:p>
        </w:tc>
      </w:tr>
    </w:tbl>
    <w:p>
      <w:pPr>
        <w:spacing w:after="80"/>
      </w:pPr>
    </w:p>
    <w:p>
      <w:pPr>
        <w:spacing w:after="200"/>
        <w:jc w:val="both"/>
      </w:pPr>
      <w:r>
        <w:rPr>
          <w:rFonts w:ascii="Georgia" w:cs="Georgia" w:eastAsia="Georgia" w:hAnsi="Georgia"/>
          <w:b/>
          <w:bCs/>
          <w:color w:val="3A4A5C"/>
          <w:sz w:val="22"/>
          <w:szCs w:val="22"/>
        </w:rPr>
        <w:t xml:space="preserve">Note : </w:t>
      </w:r>
      <w:r>
        <w:rPr>
          <w:rFonts w:ascii="Georgia" w:cs="Georgia" w:eastAsia="Georgia" w:hAnsi="Georgia"/>
          <w:color w:val="3A4A5C"/>
          <w:sz w:val="22"/>
          <w:szCs w:val="22"/>
        </w:rPr>
        <w:t xml:space="preserve">Le livrable 1 a été complété et est joint à la présente proposition à titre de référence. Il représente la phase initiale des travaux entrepris afin de démontrer la qualité et la profondeur d’analyse qui caractériseront l’ensemble du mandat.</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5. Échéancier</w:t>
      </w:r>
    </w:p>
    <w:p>
      <w:pPr>
        <w:spacing w:after="200"/>
        <w:jc w:val="both"/>
      </w:pPr>
      <w:r>
        <w:rPr>
          <w:rFonts w:ascii="Georgia" w:cs="Georgia" w:eastAsia="Georgia" w:hAnsi="Georgia"/>
          <w:b w:val="false"/>
          <w:bCs w:val="false"/>
          <w:i w:val="false"/>
          <w:iCs w:val="false"/>
          <w:color w:val="3A4A5C"/>
          <w:sz w:val="22"/>
          <w:szCs w:val="22"/>
        </w:rPr>
        <w:t xml:space="preserve">Le mandat est structuré sur une période de six mois, débutant à l’acceptation de la présente proposition et à la réception de la provision initiale.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72"/>
      </w:tblGrid>
      <w:tr>
        <w:trPr>
          <w:tblHeader/>
        </w:trPr>
        <w:tc>
          <w:tcPr>
            <w:tcW w:type="dxa" w:w="1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Phase</w:t>
            </w:r>
          </w:p>
        </w:tc>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Période</w:t>
            </w:r>
          </w:p>
        </w:tc>
        <w:tc>
          <w:tcPr>
            <w:tcW w:type="dxa" w:w="5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Activités</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Phase 1</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Avril – mai 2026</w:t>
            </w:r>
          </w:p>
        </w:tc>
        <w:tc>
          <w:tcPr>
            <w:tcW w:type="dxa" w:w="5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Livraison de la faisabilité, dépôt ESSOR, élaboration de la feuille de route</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Phase 2</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Mai – juin 2026</w:t>
            </w:r>
          </w:p>
        </w:tc>
        <w:tc>
          <w:tcPr>
            <w:tcW w:type="dxa" w:w="5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Conseil stratégique, structure d’entité, mobilisation des parties prenantes</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Phase 3</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Juillet – septembre 2026</w:t>
            </w:r>
          </w:p>
        </w:tc>
        <w:tc>
          <w:tcPr>
            <w:tcW w:type="dxa" w:w="5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Accompagnement à la mise en œuvre, demandes de subventions complémentaires, conseil continu</w:t>
            </w:r>
          </w:p>
        </w:tc>
      </w:tr>
    </w:tbl>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6. Honoraires professionnels</w:t>
      </w:r>
    </w:p>
    <w:p>
      <w:pPr>
        <w:spacing w:after="200"/>
        <w:jc w:val="both"/>
      </w:pPr>
      <w:r>
        <w:rPr>
          <w:rFonts w:ascii="Georgia" w:cs="Georgia" w:eastAsia="Georgia" w:hAnsi="Georgia"/>
          <w:b w:val="false"/>
          <w:bCs w:val="false"/>
          <w:i w:val="false"/>
          <w:iCs w:val="false"/>
          <w:color w:val="3A4A5C"/>
          <w:sz w:val="22"/>
          <w:szCs w:val="22"/>
        </w:rPr>
        <w:t xml:space="preserve">Les honoraires totaux du mandat sont structurés de manière à refléter la portée et la durée des travaux, tout en tenant compte de la préférence du client pour une récupération des coûts par le biais du financement gouvernemental.</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72"/>
        <w:gridCol w:w="3000"/>
      </w:tblGrid>
      <w:tr>
        <w:trPr>
          <w:tblHeader/>
        </w:trPr>
        <w:tc>
          <w:tcPr>
            <w:tcW w:type="dxa" w:w="6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Composante</w:t>
            </w:r>
          </w:p>
        </w:tc>
        <w:tc>
          <w:tcPr>
            <w:tcW w:type="dxa" w:w="30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Montant (CAD)</w:t>
            </w:r>
          </w:p>
        </w:tc>
      </w:tr>
      <w:tr>
        <w:tc>
          <w:tcPr>
            <w:tcW w:type="dxa" w:w="6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Honoraires totaux du mandat (6 mois)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100 000 $</w:t>
            </w:r>
          </w:p>
        </w:tc>
      </w:tr>
      <w:tr>
        <w:tc>
          <w:tcPr>
            <w:tcW w:type="dxa" w:w="6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Moins : Remboursement estimé de subvention (ESSOR Volet 1A, 50 %)</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(50 000 $)</w:t>
            </w:r>
          </w:p>
        </w:tc>
      </w:tr>
      <w:tr>
        <w:tc>
          <w:tcPr>
            <w:tcW w:type="dxa" w:w="6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Coût net estimé pour le client</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50 000 $</w:t>
            </w:r>
          </w:p>
        </w:tc>
      </w:tr>
    </w:tbl>
    <w:p>
      <w:pPr>
        <w:spacing w:after="80"/>
      </w:pPr>
    </w:p>
    <w:p>
      <w:pPr>
        <w:pStyle w:val="Heading2"/>
        <w:spacing w:after="160" w:before="280"/>
      </w:pPr>
      <w:r>
        <w:rPr>
          <w:rFonts w:ascii="Georgia" w:cs="Georgia" w:eastAsia="Georgia" w:hAnsi="Georgia"/>
          <w:b/>
          <w:bCs/>
          <w:color w:val="0C1A2E"/>
          <w:sz w:val="22"/>
          <w:szCs w:val="22"/>
        </w:rPr>
        <w:t xml:space="preserve">6.1 Modalités de paiement</w:t>
      </w:r>
    </w:p>
    <w:p>
      <w:pPr>
        <w:pStyle w:val="ListParagraph"/>
        <w:numPr>
          <w:ilvl w:val="0"/>
          <w:numId w:val="2"/>
        </w:numPr>
        <w:spacing w:after="100"/>
      </w:pPr>
      <w:r>
        <w:rPr>
          <w:rFonts w:ascii="Georgia" w:cs="Georgia" w:eastAsia="Georgia" w:hAnsi="Georgia"/>
          <w:color w:val="3A4A5C"/>
          <w:sz w:val="22"/>
          <w:szCs w:val="22"/>
        </w:rPr>
        <w:t xml:space="preserve">Provision du premier et du dernier mois : 33 333,33 $ plus les taxes applicables, payable à l’acceptation de la présente proposition. Ce montant représente le premier et le dernier mois du mandat et garantit la disponibilité immédiate et l’engagement d’IBPROM Corp envers le mandat.</w:t>
      </w:r>
    </w:p>
    <w:p>
      <w:pPr>
        <w:pStyle w:val="ListParagraph"/>
        <w:numPr>
          <w:ilvl w:val="0"/>
          <w:numId w:val="2"/>
        </w:numPr>
        <w:spacing w:after="100"/>
      </w:pPr>
      <w:r>
        <w:rPr>
          <w:rFonts w:ascii="Georgia" w:cs="Georgia" w:eastAsia="Georgia" w:hAnsi="Georgia"/>
          <w:color w:val="3A4A5C"/>
          <w:sz w:val="22"/>
          <w:szCs w:val="22"/>
        </w:rPr>
        <w:t xml:space="preserve">Facturation mensuelle : Les mois 2 à 5 seront facturés mensuellement en versements égaux de 16 666,67 $, payables dans les quinze (15) jours suivant la date de facturation.</w:t>
      </w:r>
    </w:p>
    <w:p>
      <w:pPr>
        <w:pStyle w:val="ListParagraph"/>
        <w:numPr>
          <w:ilvl w:val="0"/>
          <w:numId w:val="2"/>
        </w:numPr>
        <w:spacing w:after="100"/>
      </w:pPr>
      <w:r>
        <w:rPr>
          <w:rFonts w:ascii="Georgia" w:cs="Georgia" w:eastAsia="Georgia" w:hAnsi="Georgia"/>
          <w:color w:val="3A4A5C"/>
          <w:sz w:val="22"/>
          <w:szCs w:val="22"/>
        </w:rPr>
        <w:t xml:space="preserve">Taxes : Tous les honoraires sont assujettis à la TPS (5 %) et à la TVQ (9,975 %). IBPROM Corp est inscrite aux fichiers de la TPS et de la TVQ.</w:t>
      </w:r>
    </w:p>
    <w:p>
      <w:pPr>
        <w:pStyle w:val="Heading2"/>
        <w:spacing w:after="160" w:before="280"/>
      </w:pPr>
      <w:r>
        <w:rPr>
          <w:rFonts w:ascii="Georgia" w:cs="Georgia" w:eastAsia="Georgia" w:hAnsi="Georgia"/>
          <w:b/>
          <w:bCs/>
          <w:color w:val="0C1A2E"/>
          <w:sz w:val="22"/>
          <w:szCs w:val="22"/>
        </w:rPr>
        <w:t xml:space="preserve">6.2 Avis relatif au financement gouvernemental</w:t>
      </w:r>
    </w:p>
    <w:p>
      <w:pPr>
        <w:spacing w:after="200"/>
        <w:jc w:val="both"/>
      </w:pPr>
      <w:r>
        <w:rPr>
          <w:rFonts w:ascii="Georgia" w:cs="Georgia" w:eastAsia="Georgia" w:hAnsi="Georgia"/>
          <w:b w:val="false"/>
          <w:bCs w:val="false"/>
          <w:i w:val="false"/>
          <w:iCs w:val="false"/>
          <w:color w:val="3A4A5C"/>
          <w:sz w:val="22"/>
          <w:szCs w:val="22"/>
        </w:rPr>
        <w:t xml:space="preserve">IBPROM Corp identifiera, analysera et préparera les demandes pour tous les programmes de financement gouvernemental auxquels ce projet pourrait être admissible. Toutefois, les décisions d’approbation du financement relèvent exclusivement des organismes gouvernementaux concernés et sont hors du contrôle d’IBPROM Corp. Aucune garantie d’approbation du financement n’est offerte ni implicite.</w:t>
      </w:r>
    </w:p>
    <w:p>
      <w:pPr>
        <w:spacing w:after="200"/>
        <w:jc w:val="both"/>
      </w:pPr>
      <w:r>
        <w:rPr>
          <w:rFonts w:ascii="Georgia" w:cs="Georgia" w:eastAsia="Georgia" w:hAnsi="Georgia"/>
          <w:b w:val="false"/>
          <w:bCs w:val="false"/>
          <w:i w:val="false"/>
          <w:iCs w:val="false"/>
          <w:color w:val="3A4A5C"/>
          <w:sz w:val="22"/>
          <w:szCs w:val="22"/>
        </w:rPr>
        <w:t xml:space="preserve">Les montants de remboursement de subventions mentionnés dans la présente proposition sont des estimations fondées sur les paramètres publiés des programmes et sont sujets à validation par l’autorité approbatrice. Le client doit être préparé à assumer la totalité des honoraires du mandat advenant que le financement gouvernemental ne soit pas approuvé ou soit approuvé à un montant inférieur à celui estimé.</w:t>
      </w:r>
    </w:p>
    <w:p>
      <w:pPr>
        <w:spacing w:after="200"/>
        <w:jc w:val="both"/>
      </w:pPr>
      <w:r>
        <w:rPr>
          <w:rFonts w:ascii="Georgia" w:cs="Georgia" w:eastAsia="Georgia" w:hAnsi="Georgia"/>
          <w:b/>
          <w:bCs/>
          <w:color w:val="3A4A5C"/>
          <w:sz w:val="22"/>
          <w:szCs w:val="22"/>
        </w:rPr>
        <w:t xml:space="preserve">À titre de référence : </w:t>
      </w:r>
      <w:r>
        <w:rPr>
          <w:rFonts w:ascii="Georgia" w:cs="Georgia" w:eastAsia="Georgia" w:hAnsi="Georgia"/>
          <w:color w:val="3A4A5C"/>
          <w:sz w:val="22"/>
          <w:szCs w:val="22"/>
        </w:rPr>
        <w:t xml:space="preserve">Le programme ESSOR Volet 1A rembourse jusqu’à 50 % des honoraires admissibles de consultants externes, jusqu’à concurrence de 50 000 $. IBPROM Corp préparera les documents de la demande dans le cadre de la Phase 1; la soumission est effectuée par l’entité requérante par l’entremise de ClicSÉQUR Entreprises.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7. Pourquoi IBPROM Corp</w:t>
      </w:r>
    </w:p>
    <w:p>
      <w:pPr>
        <w:pStyle w:val="Heading2"/>
        <w:spacing w:after="160" w:before="280"/>
      </w:pPr>
      <w:r>
        <w:rPr>
          <w:rFonts w:ascii="Georgia" w:cs="Georgia" w:eastAsia="Georgia" w:hAnsi="Georgia"/>
          <w:b/>
          <w:bCs/>
          <w:color w:val="0C1A2E"/>
          <w:sz w:val="22"/>
          <w:szCs w:val="22"/>
        </w:rPr>
        <w:t xml:space="preserve">7.1 Expérience éprouvée avec vos affaires</w:t>
      </w:r>
    </w:p>
    <w:p>
      <w:pPr>
        <w:spacing w:after="200"/>
        <w:jc w:val="both"/>
      </w:pPr>
      <w:r>
        <w:rPr>
          <w:rFonts w:ascii="Georgia" w:cs="Georgia" w:eastAsia="Georgia" w:hAnsi="Georgia"/>
          <w:b w:val="false"/>
          <w:bCs w:val="false"/>
          <w:i w:val="false"/>
          <w:iCs w:val="false"/>
          <w:color w:val="3A4A5C"/>
          <w:sz w:val="22"/>
          <w:szCs w:val="22"/>
        </w:rPr>
        <w:t xml:space="preserve">IBPROM Corp n’est pas un nouveau partenaire. Au cours d’environ une année de soutien à la construction de la Phase 1 de La Cité Gatineau, M. Soares a fourni un accompagnement stratégique et opérationnel concret sur plusieurs fronts :</w:t>
      </w:r>
    </w:p>
    <w:p>
      <w:pPr>
        <w:pStyle w:val="ListParagraph"/>
        <w:numPr>
          <w:ilvl w:val="0"/>
          <w:numId w:val="2"/>
        </w:numPr>
        <w:spacing w:after="100"/>
      </w:pPr>
      <w:r>
        <w:rPr>
          <w:rFonts w:ascii="Georgia" w:cs="Georgia" w:eastAsia="Georgia" w:hAnsi="Georgia"/>
          <w:color w:val="3A4A5C"/>
          <w:sz w:val="22"/>
          <w:szCs w:val="22"/>
        </w:rPr>
        <w:t xml:space="preserve">Supervision de la construction et relations avec les entrepreneurs : a agi comme votre principal interlocuteur auprès de BBL Construction et de l’ensemble des sous-traitants tout au long de la construction de La Cité Phase 1, assurant la coordination, la reddition de comptes et la résolution rapide des enjeux</w:t>
      </w:r>
    </w:p>
    <w:p>
      <w:pPr>
        <w:pStyle w:val="ListParagraph"/>
        <w:numPr>
          <w:ilvl w:val="0"/>
          <w:numId w:val="2"/>
        </w:numPr>
        <w:spacing w:after="100"/>
      </w:pPr>
      <w:r>
        <w:rPr>
          <w:rFonts w:ascii="Georgia" w:cs="Georgia" w:eastAsia="Georgia" w:hAnsi="Georgia"/>
          <w:color w:val="3A4A5C"/>
          <w:sz w:val="22"/>
          <w:szCs w:val="22"/>
        </w:rPr>
        <w:t xml:space="preserve">Gestion des coûts et de l’échéancier : BBL Construction a directement attribué des économies d’environ 500 000 $ et une accélération estimée de six mois de la livraison à la coordination et à la supervision assurées par IBPROM pendant la construction de La Cité</w:t>
      </w:r>
    </w:p>
    <w:p>
      <w:pPr>
        <w:pStyle w:val="ListParagraph"/>
        <w:numPr>
          <w:ilvl w:val="0"/>
          <w:numId w:val="2"/>
        </w:numPr>
        <w:spacing w:after="100"/>
      </w:pPr>
      <w:r>
        <w:rPr>
          <w:rFonts w:ascii="Georgia" w:cs="Georgia" w:eastAsia="Georgia" w:hAnsi="Georgia"/>
          <w:color w:val="3A4A5C"/>
          <w:sz w:val="22"/>
          <w:szCs w:val="22"/>
        </w:rPr>
        <w:t xml:space="preserve">Relations avec la clientèle et soutien aux locataires : gestion des communications, des demandes de location et du maintien des relations durant la période critique d’occupation initiale</w:t>
      </w:r>
    </w:p>
    <w:p>
      <w:pPr>
        <w:pStyle w:val="ListParagraph"/>
        <w:numPr>
          <w:ilvl w:val="0"/>
          <w:numId w:val="2"/>
        </w:numPr>
        <w:spacing w:after="100"/>
      </w:pPr>
      <w:r>
        <w:rPr>
          <w:rFonts w:ascii="Georgia" w:cs="Georgia" w:eastAsia="Georgia" w:hAnsi="Georgia"/>
          <w:color w:val="3A4A5C"/>
          <w:sz w:val="22"/>
          <w:szCs w:val="22"/>
        </w:rPr>
        <w:t xml:space="preserve">Infrastructure et opérations : soutien au déploiement des systèmes du bâtiment, des processus opérationnels et des exigences de gestion quotidienne</w:t>
      </w:r>
    </w:p>
    <w:p>
      <w:pPr>
        <w:pStyle w:val="ListParagraph"/>
        <w:numPr>
          <w:ilvl w:val="0"/>
          <w:numId w:val="2"/>
        </w:numPr>
        <w:spacing w:after="100"/>
      </w:pPr>
      <w:r>
        <w:rPr>
          <w:rFonts w:ascii="Georgia" w:cs="Georgia" w:eastAsia="Georgia" w:hAnsi="Georgia"/>
          <w:color w:val="3A4A5C"/>
          <w:sz w:val="22"/>
          <w:szCs w:val="22"/>
        </w:rPr>
        <w:t xml:space="preserve">Marketing et présence numérique : repositionnement du site Web de La Cité Gatineau, révision du narratif et du message, production de photographies et de vidéos, développement des comptes de médias sociaux et maintien d’une présence soutenue sur les réseaux sociaux, et création de matériel promotionnel pour soutenir les efforts de location et d’occupation</w:t>
      </w:r>
    </w:p>
    <w:p>
      <w:pPr>
        <w:spacing w:after="200"/>
        <w:jc w:val="both"/>
      </w:pPr>
      <w:r>
        <w:rPr>
          <w:rFonts w:ascii="Georgia" w:cs="Georgia" w:eastAsia="Georgia" w:hAnsi="Georgia"/>
          <w:b w:val="false"/>
          <w:bCs w:val="false"/>
          <w:i w:val="false"/>
          <w:iCs w:val="false"/>
          <w:color w:val="3A4A5C"/>
          <w:sz w:val="22"/>
          <w:szCs w:val="22"/>
        </w:rPr>
        <w:t xml:space="preserve">Ce mandat antérieur élimine toute période d’adaptation. IBPROM connaît déjà vos affaires, vos objectifs et votre portefeuille. La présente proposition s’inscrit directement dans cette continuité.</w:t>
      </w:r>
    </w:p>
    <w:p>
      <w:pPr>
        <w:pStyle w:val="Heading2"/>
        <w:spacing w:after="160" w:before="280"/>
      </w:pPr>
      <w:r>
        <w:rPr>
          <w:rFonts w:ascii="Georgia" w:cs="Georgia" w:eastAsia="Georgia" w:hAnsi="Georgia"/>
          <w:b/>
          <w:bCs/>
          <w:color w:val="0C1A2E"/>
          <w:sz w:val="22"/>
          <w:szCs w:val="22"/>
        </w:rPr>
        <w:t xml:space="preserve">7.2 Capacités institutionnelles</w:t>
      </w:r>
    </w:p>
    <w:p>
      <w:pPr>
        <w:pStyle w:val="ListParagraph"/>
        <w:numPr>
          <w:ilvl w:val="0"/>
          <w:numId w:val="2"/>
        </w:numPr>
        <w:spacing w:after="100"/>
      </w:pPr>
      <w:r>
        <w:rPr>
          <w:rFonts w:ascii="Georgia" w:cs="Georgia" w:eastAsia="Georgia" w:hAnsi="Georgia"/>
          <w:color w:val="3A4A5C"/>
          <w:sz w:val="22"/>
          <w:szCs w:val="22"/>
        </w:rPr>
        <w:t xml:space="preserve">Maîtrise des rouages gouvernementaux : M. Soares a œuvré au sein du gouvernement fédéral aux plus hauts niveaux — au Cabinet du Premier ministre lors d’une crise financière mondiale et au Sénat du Canada pendant la pandémie. Il comprend comment les décisions de financement sont prises, quel langage résonne auprès des administrateurs de programmes et comment positionner les demandes pour maximiser les chances d’approbation.</w:t>
      </w:r>
    </w:p>
    <w:p>
      <w:pPr>
        <w:pStyle w:val="ListParagraph"/>
        <w:numPr>
          <w:ilvl w:val="0"/>
          <w:numId w:val="2"/>
        </w:numPr>
        <w:spacing w:after="100"/>
      </w:pPr>
      <w:r>
        <w:rPr>
          <w:rFonts w:ascii="Georgia" w:cs="Georgia" w:eastAsia="Georgia" w:hAnsi="Georgia"/>
          <w:color w:val="3A4A5C"/>
          <w:sz w:val="22"/>
          <w:szCs w:val="22"/>
        </w:rPr>
        <w:t xml:space="preserve">Profondeur stratégique : L’analyse de faisabilité déjà livrée avec cette proposition démontre le calibre de travail que ce mandat produira — fondé sur des données probantes, entièrement référencé et structuré pour la prise de décision.</w:t>
      </w:r>
    </w:p>
    <w:p>
      <w:pPr>
        <w:pStyle w:val="ListParagraph"/>
        <w:numPr>
          <w:ilvl w:val="0"/>
          <w:numId w:val="2"/>
        </w:numPr>
        <w:spacing w:after="100"/>
      </w:pPr>
      <w:r>
        <w:rPr>
          <w:rFonts w:ascii="Georgia" w:cs="Georgia" w:eastAsia="Georgia" w:hAnsi="Georgia"/>
          <w:color w:val="3A4A5C"/>
          <w:sz w:val="22"/>
          <w:szCs w:val="22"/>
        </w:rPr>
        <w:t xml:space="preserve">Capacité bilingue : Tous les livrables sont disponibles en français et en anglais, un impératif pour les demandes de subventions au Québec et les communications avec les parties prenantes.</w:t>
      </w:r>
    </w:p>
    <w:p>
      <w:pPr>
        <w:pStyle w:val="ListParagraph"/>
        <w:numPr>
          <w:ilvl w:val="0"/>
          <w:numId w:val="2"/>
        </w:numPr>
        <w:spacing w:after="100"/>
      </w:pPr>
      <w:r>
        <w:rPr>
          <w:rFonts w:ascii="Georgia" w:cs="Georgia" w:eastAsia="Georgia" w:hAnsi="Georgia"/>
          <w:color w:val="3A4A5C"/>
          <w:sz w:val="22"/>
          <w:szCs w:val="22"/>
        </w:rPr>
        <w:t xml:space="preserve">Intérêts alignés : La structure de rémunération d’IBPROM Corp est conçue de sorte que le succès des demandes de subventions réduise directement votre coût net. Cet alignement garantit qu’IBPROM est pleinement investi dans les résultats.</w:t>
      </w:r>
    </w:p>
    <w:p>
      <w:pPr>
        <w:pBdr>
          <w:bottom w:val="single" w:color="C9A84C" w:sz="6" w:space="1"/>
        </w:pBdr>
        <w:spacing w:after="200" w:before="200"/>
      </w:pPr>
    </w:p>
    <w:p>
      <w:pPr>
        <w:pStyle w:val="Heading1"/>
        <w:pBdr>
          <w:bottom w:val="single" w:color="C9A84C" w:sz="4" w:space="4"/>
        </w:pBdr>
        <w:spacing w:after="200" w:before="360"/>
      </w:pPr>
      <w:r>
        <w:rPr>
          <w:rFonts w:ascii="Georgia" w:cs="Georgia" w:eastAsia="Georgia" w:hAnsi="Georgia"/>
          <w:b/>
          <w:bCs/>
          <w:color w:val="0C1A2E"/>
          <w:sz w:val="26"/>
          <w:szCs w:val="26"/>
        </w:rPr>
        <w:t xml:space="preserve">8. Acceptation</w:t>
      </w:r>
    </w:p>
    <w:p>
      <w:pPr>
        <w:spacing w:after="200"/>
        <w:jc w:val="both"/>
      </w:pPr>
      <w:r>
        <w:rPr>
          <w:rFonts w:ascii="Georgia" w:cs="Georgia" w:eastAsia="Georgia" w:hAnsi="Georgia"/>
          <w:b w:val="false"/>
          <w:bCs w:val="false"/>
          <w:i w:val="false"/>
          <w:iCs w:val="false"/>
          <w:color w:val="3A4A5C"/>
          <w:sz w:val="22"/>
          <w:szCs w:val="22"/>
        </w:rPr>
        <w:t xml:space="preserve">La présente proposition est valide pour une période de trente (30) jours à compter de la date ci-dessus. Pour l’accepter, veuillez signer ci-dessous et retourner une copie à IBPROM Corp à l’adresse j@josephsoares.com, accompagnée du paiement de la provision du premier et du dernier mois.</w:t>
      </w:r>
    </w:p>
    <w:p>
      <w:pPr>
        <w:spacing w:after="300"/>
      </w:pPr>
    </w:p>
    <w:p>
      <w:pPr>
        <w:spacing w:after="60"/>
        <w:jc w:val="both"/>
      </w:pPr>
      <w:r>
        <w:rPr>
          <w:rFonts w:ascii="Georgia" w:cs="Georgia" w:eastAsia="Georgia" w:hAnsi="Georgia"/>
          <w:b/>
          <w:bCs/>
          <w:i w:val="false"/>
          <w:iCs w:val="false"/>
          <w:color w:val="3A4A5C"/>
          <w:sz w:val="22"/>
          <w:szCs w:val="22"/>
        </w:rPr>
        <w:t xml:space="preserve">Signature :</w:t>
      </w:r>
    </w:p>
    <w:p>
      <w:pPr>
        <w:pBdr>
          <w:bottom w:val="single" w:color="3A4A5C" w:sz="1" w:space="1"/>
        </w:pBdr>
        <w:spacing w:after="60"/>
      </w:pPr>
      <w:r>
        <w:rPr>
          <w:rFonts w:ascii="Georgia" w:cs="Georgia" w:eastAsia="Georgia" w:hAnsi="Georgia"/>
          <w:sz w:val="22"/>
          <w:szCs w:val="22"/>
        </w:rPr>
        <w:t xml:space="preserve">                                                            </w:t>
      </w:r>
    </w:p>
    <w:p>
      <w:pPr>
        <w:spacing w:after="60"/>
        <w:jc w:val="both"/>
      </w:pPr>
      <w:r>
        <w:rPr>
          <w:rFonts w:ascii="Georgia" w:cs="Georgia" w:eastAsia="Georgia" w:hAnsi="Georgia"/>
          <w:b/>
          <w:bCs/>
          <w:i w:val="false"/>
          <w:iCs w:val="false"/>
          <w:color w:val="3A4A5C"/>
          <w:sz w:val="22"/>
          <w:szCs w:val="22"/>
        </w:rPr>
        <w:t xml:space="preserve">Dr Nader Dormani</w:t>
      </w:r>
    </w:p>
    <w:p>
      <w:pPr>
        <w:spacing w:after="40"/>
      </w:pPr>
    </w:p>
    <w:p>
      <w:pPr>
        <w:spacing w:after="60"/>
        <w:jc w:val="both"/>
      </w:pPr>
      <w:r>
        <w:rPr>
          <w:rFonts w:ascii="Georgia" w:cs="Georgia" w:eastAsia="Georgia" w:hAnsi="Georgia"/>
          <w:b/>
          <w:bCs/>
          <w:i w:val="false"/>
          <w:iCs w:val="false"/>
          <w:color w:val="3A4A5C"/>
          <w:sz w:val="22"/>
          <w:szCs w:val="22"/>
        </w:rPr>
        <w:t xml:space="preserve">Date :</w:t>
      </w:r>
    </w:p>
    <w:p>
      <w:pPr>
        <w:pBdr>
          <w:bottom w:val="single" w:color="3A4A5C" w:sz="1" w:space="1"/>
        </w:pBdr>
        <w:spacing w:after="60"/>
      </w:pPr>
      <w:r>
        <w:rPr>
          <w:rFonts w:ascii="Georgia" w:cs="Georgia" w:eastAsia="Georgia" w:hAnsi="Georgia"/>
          <w:sz w:val="22"/>
          <w:szCs w:val="22"/>
        </w:rPr>
        <w:t xml:space="preserve">                                                            </w:t>
      </w:r>
    </w:p>
    <w:p>
      <w:pPr>
        <w:spacing w:after="300"/>
      </w:pPr>
    </w:p>
    <w:p>
      <w:pPr>
        <w:spacing w:after="60"/>
        <w:jc w:val="both"/>
      </w:pPr>
      <w:r>
        <w:rPr>
          <w:rFonts w:ascii="Georgia" w:cs="Georgia" w:eastAsia="Georgia" w:hAnsi="Georgia"/>
          <w:b/>
          <w:bCs/>
          <w:i w:val="false"/>
          <w:iCs w:val="false"/>
          <w:color w:val="3A4A5C"/>
          <w:sz w:val="22"/>
          <w:szCs w:val="22"/>
        </w:rPr>
        <w:t xml:space="preserve">Signature :</w:t>
      </w:r>
    </w:p>
    <w:p>
      <w:pPr>
        <w:pBdr>
          <w:bottom w:val="single" w:color="3A4A5C" w:sz="1" w:space="1"/>
        </w:pBdr>
        <w:spacing w:after="60"/>
      </w:pPr>
      <w:r>
        <w:rPr>
          <w:rFonts w:ascii="Georgia" w:cs="Georgia" w:eastAsia="Georgia" w:hAnsi="Georgia"/>
          <w:sz w:val="22"/>
          <w:szCs w:val="22"/>
        </w:rPr>
        <w:t xml:space="preserve">                                                            </w:t>
      </w:r>
    </w:p>
    <w:p>
      <w:pPr>
        <w:spacing w:after="60"/>
        <w:jc w:val="both"/>
      </w:pPr>
      <w:r>
        <w:rPr>
          <w:rFonts w:ascii="Georgia" w:cs="Georgia" w:eastAsia="Georgia" w:hAnsi="Georgia"/>
          <w:b/>
          <w:bCs/>
          <w:i w:val="false"/>
          <w:iCs w:val="false"/>
          <w:color w:val="3A4A5C"/>
          <w:sz w:val="22"/>
          <w:szCs w:val="22"/>
        </w:rPr>
        <w:t xml:space="preserve">Joseph Soares, MBA, Adm.A., PMP</w:t>
      </w:r>
    </w:p>
    <w:p>
      <w:pPr>
        <w:spacing w:after="60"/>
        <w:jc w:val="both"/>
      </w:pPr>
      <w:r>
        <w:rPr>
          <w:rFonts w:ascii="Georgia" w:cs="Georgia" w:eastAsia="Georgia" w:hAnsi="Georgia"/>
          <w:b w:val="false"/>
          <w:bCs w:val="false"/>
          <w:i/>
          <w:iCs/>
          <w:color w:val="3A4A5C"/>
          <w:sz w:val="22"/>
          <w:szCs w:val="22"/>
        </w:rPr>
        <w:t xml:space="preserve">Président, IBPROM Corp</w:t>
      </w:r>
    </w:p>
    <w:p>
      <w:pPr>
        <w:spacing w:after="40"/>
      </w:pPr>
    </w:p>
    <w:p>
      <w:pPr>
        <w:spacing w:after="60"/>
        <w:jc w:val="both"/>
      </w:pPr>
      <w:r>
        <w:rPr>
          <w:rFonts w:ascii="Georgia" w:cs="Georgia" w:eastAsia="Georgia" w:hAnsi="Georgia"/>
          <w:b w:val="false"/>
          <w:bCs w:val="false"/>
          <w:i w:val="false"/>
          <w:iCs w:val="false"/>
          <w:color w:val="3A4A5C"/>
          <w:sz w:val="22"/>
          <w:szCs w:val="22"/>
        </w:rPr>
        <w:t xml:space="preserve">Date : 11 avril 2026</w:t>
      </w:r>
    </w:p>
    <w:p>
      <w:pPr>
        <w:pBdr>
          <w:bottom w:val="single" w:color="C9A84C" w:sz="6" w:space="1"/>
        </w:pBdr>
        <w:spacing w:after="200" w:before="200"/>
      </w:pPr>
    </w:p>
    <w:p>
      <w:pPr>
        <w:spacing w:after="80"/>
      </w:pPr>
    </w:p>
    <w:p>
      <w:pPr>
        <w:spacing w:after="60"/>
        <w:jc w:val="center"/>
      </w:pPr>
      <w:r>
        <w:rPr>
          <w:rFonts w:ascii="Georgia" w:cs="Georgia" w:eastAsia="Georgia" w:hAnsi="Georgia"/>
          <w:b/>
          <w:bCs/>
          <w:color w:val="0C1A2E"/>
          <w:sz w:val="22"/>
          <w:szCs w:val="22"/>
        </w:rPr>
        <w:t xml:space="preserve">IBPROM Corp</w:t>
      </w:r>
    </w:p>
    <w:p>
      <w:pPr>
        <w:spacing w:after="60"/>
        <w:jc w:val="center"/>
      </w:pPr>
      <w:r>
        <w:rPr>
          <w:rFonts w:ascii="Georgia" w:cs="Georgia" w:eastAsia="Georgia" w:hAnsi="Georgia"/>
          <w:color w:val="3A4A5C"/>
          <w:sz w:val="18"/>
          <w:szCs w:val="18"/>
        </w:rPr>
        <w:t xml:space="preserve">legal@josephsoares.com  |  josephsoares.com</w:t>
      </w:r>
    </w:p>
    <w:p>
      <w:pPr>
        <w:spacing w:after="60"/>
        <w:jc w:val="center"/>
      </w:pPr>
      <w:r>
        <w:rPr>
          <w:rFonts w:ascii="Georgia" w:cs="Georgia" w:eastAsia="Georgia" w:hAnsi="Georgia"/>
          <w:color w:val="3A4A5C"/>
          <w:sz w:val="18"/>
          <w:szCs w:val="18"/>
        </w:rPr>
        <w:t xml:space="preserve">Gatineau, Québec  |  Société constituée en Ontario</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jc w:val="center"/>
    </w:pPr>
    <w:r>
      <w:rPr>
        <w:rFonts w:ascii="Georgia" w:cs="Georgia" w:eastAsia="Georgia" w:hAnsi="Georgia"/>
        <w:color w:val="3A4A5C"/>
        <w:sz w:val="14"/>
        <w:szCs w:val="14"/>
      </w:rPr>
      <w:t xml:space="preserve">Confidentiel  |  IBPROM Corp  |  Page </w:t>
    </w:r>
    <w:r>
      <w:rPr>
        <w:rFonts w:ascii="Georgia" w:cs="Georgia" w:eastAsia="Georgia" w:hAnsi="Georgia"/>
        <w:color w:val="3A4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Georgia" w:cs="Georgia" w:eastAsia="Georgia" w:hAnsi="Georgia"/>
        <w:b/>
        <w:bCs/>
        <w:color w:val="0C1A2E"/>
        <w:sz w:val="16"/>
        <w:szCs w:val="16"/>
      </w:rPr>
      <w:t xml:space="preserve">IBPROM Corp</w:t>
    </w:r>
    <w:r>
      <w:rPr>
        <w:rFonts w:ascii="Georgia" w:cs="Georgia" w:eastAsia="Georgia" w:hAnsi="Georgia"/>
        <w:color w:val="3A4A5C"/>
        <w:sz w:val="16"/>
        <w:szCs w:val="16"/>
      </w:rPr>
      <w:t xml:space="preserve">  |  Proposition de services-conseils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C1A2E"/>
      <w:sz w:val="26"/>
      <w:szCs w:val="26"/>
    </w:rPr>
  </w:style>
  <w:style w:type="paragraph" w:styleId="Heading2">
    <w:name w:val="Heading 2"/>
    <w:basedOn w:val="Normal"/>
    <w:next w:val="Normal"/>
    <w:qFormat/>
    <w:pPr>
      <w:spacing w:after="160" w:before="280"/>
      <w:outlineLvl w:val="1"/>
    </w:pPr>
    <w:rPr>
      <w:rFonts w:ascii="Georgia" w:cs="Georgia" w:eastAsia="Georgia" w:hAnsi="Georgia"/>
      <w:b/>
      <w:bCs/>
      <w:color w:val="0C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2026-04-11T18:15:50.254Z</dcterms:created>
  <dcterms:modified xsi:type="dcterms:W3CDTF">2026-04-11T18:15:50.254Z</dcterms:modified>
</cp:coreProperties>
</file>

<file path=docProps/custom.xml><?xml version="1.0" encoding="utf-8"?>
<Properties xmlns="http://schemas.openxmlformats.org/officeDocument/2006/custom-properties" xmlns:vt="http://schemas.openxmlformats.org/officeDocument/2006/docPropsVTypes"/>
</file>