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C1A2E" w:val="clear"/>
            <w:tcMar>
              <w:top w:type="dxa" w:w="140"/>
              <w:left w:type="dxa" w:w="300"/>
              <w:bottom w:type="dxa" w:w="140"/>
              <w:right w:type="dxa" w:w="300"/>
            </w:tcMar>
          </w:tcPr>
          <w:p>
            <w:r>
              <w:rPr>
                <w:rFonts w:ascii="Georgia" w:cs="Georgia" w:eastAsia="Georgia" w:hAnsi="Georgia"/>
                <w:b/>
                <w:bCs/>
                <w:color w:val="C9A84C"/>
                <w:sz w:val="32"/>
                <w:szCs w:val="32"/>
              </w:rPr>
              <w:t xml:space="preserve">IBPROM</w:t>
            </w:r>
            <w:r>
              <w:rPr>
                <w:rFonts w:ascii="Georgia" w:cs="Georgia" w:eastAsia="Georgia" w:hAnsi="Georgia"/>
                <w:color w:val="999999"/>
                <w:sz w:val="20"/>
                <w:szCs w:val="20"/>
              </w:rPr>
              <w:t xml:space="preserve">  Corp</w:t>
            </w:r>
          </w:p>
        </w:tc>
      </w:tr>
    </w:tbl>
    <w:p>
      <w:pPr>
        <w:spacing w:after="300" w:before="80"/>
      </w:pPr>
      <w:r>
        <w:rPr>
          <w:rFonts w:ascii="Georgia" w:cs="Georgia" w:eastAsia="Georgia" w:hAnsi="Georgia"/>
          <w:color w:val="999999"/>
          <w:sz w:val="16"/>
          <w:szCs w:val="16"/>
        </w:rPr>
        <w:t xml:space="preserve">j@josephsoares.com  |  josephsoares.com  |  ibprom.com</w:t>
      </w:r>
    </w:p>
    <w:p>
      <w:pPr>
        <w:spacing w:after="200"/>
      </w:pPr>
      <w:r>
        <w:rPr>
          <w:rFonts w:ascii="Georgia" w:cs="Georgia" w:eastAsia="Georgia" w:hAnsi="Georgia"/>
          <w:color w:val="2A2A2A"/>
          <w:sz w:val="22"/>
          <w:szCs w:val="22"/>
        </w:rPr>
        <w:t xml:space="preserve">April 9, 2026</w:t>
      </w:r>
    </w:p>
    <w:p>
      <w:pPr>
        <w:spacing w:after="120" w:line="276"/>
      </w:pPr>
      <w:r>
        <w:rPr>
          <w:rFonts w:ascii="Georgia" w:cs="Georgia" w:eastAsia="Georgia" w:hAnsi="Georgia"/>
          <w:color w:val="2A2A2A"/>
          <w:sz w:val="22"/>
          <w:szCs w:val="22"/>
        </w:rPr>
        <w:t xml:space="preserve">Dr. Nader Agharazi-Dormani</w:t>
      </w:r>
    </w:p>
    <w:p>
      <w:pPr>
        <w:spacing w:after="120" w:line="276"/>
      </w:pPr>
      <w:r>
        <w:rPr>
          <w:rFonts w:ascii="Georgia" w:cs="Georgia" w:eastAsia="Georgia" w:hAnsi="Georgia"/>
          <w:color w:val="2A2A2A"/>
          <w:sz w:val="22"/>
          <w:szCs w:val="22"/>
        </w:rPr>
        <w:t xml:space="preserve">9266569 Canada Inc.</w:t>
      </w:r>
    </w:p>
    <w:p>
      <w:pPr>
        <w:spacing w:after="120" w:line="276"/>
      </w:pPr>
      <w:r>
        <w:rPr>
          <w:rFonts w:ascii="Georgia" w:cs="Georgia" w:eastAsia="Georgia" w:hAnsi="Georgia"/>
          <w:color w:val="2A2A2A"/>
          <w:sz w:val="22"/>
          <w:szCs w:val="22"/>
        </w:rPr>
        <w:t xml:space="preserve">La Cité Gatineau</w:t>
      </w:r>
    </w:p>
    <w:p>
      <w:pPr>
        <w:spacing w:after="60"/>
      </w:pPr>
      <w:r>
        <w:rPr>
          <w:rFonts w:ascii="Georgia" w:cs="Georgia" w:eastAsia="Georgia" w:hAnsi="Georgia"/>
          <w:color w:val="2A2A2A"/>
          <w:sz w:val="22"/>
          <w:szCs w:val="22"/>
        </w:rPr>
        <w:t xml:space="preserve">Gatineau, Quebec</w:t>
      </w:r>
    </w:p>
    <w:p>
      <w:pPr>
        <w:spacing w:after="200"/>
      </w:pPr>
    </w:p>
    <w:p>
      <w:pPr>
        <w:spacing w:after="200"/>
      </w:pPr>
      <w:r>
        <w:rPr>
          <w:rFonts w:ascii="Georgia" w:cs="Georgia" w:eastAsia="Georgia" w:hAnsi="Georgia"/>
          <w:color w:val="2A2A2A"/>
          <w:sz w:val="22"/>
          <w:szCs w:val="22"/>
        </w:rPr>
        <w:t xml:space="preserve">Re: </w:t>
      </w:r>
      <w:r>
        <w:rPr>
          <w:rFonts w:ascii="Georgia" w:cs="Georgia" w:eastAsia="Georgia" w:hAnsi="Georgia"/>
          <w:b/>
          <w:bCs/>
          <w:color w:val="2A2A2A"/>
          <w:sz w:val="22"/>
          <w:szCs w:val="22"/>
        </w:rPr>
        <w:t xml:space="preserve">Preliminary Assessment — Öztürk Holding Joint Venture Proposal, La Cité Gatineau Phase II</w:t>
      </w:r>
    </w:p>
    <w:p>
      <w:pPr>
        <w:spacing w:after="120" w:line="276"/>
      </w:pPr>
      <w:r>
        <w:rPr>
          <w:rFonts w:ascii="Georgia" w:cs="Georgia" w:eastAsia="Georgia" w:hAnsi="Georgia"/>
          <w:color w:val="2A2A2A"/>
          <w:sz w:val="22"/>
          <w:szCs w:val="22"/>
        </w:rPr>
        <w:t xml:space="preserve">Dear Dr. Dormani,</w:t>
      </w:r>
    </w:p>
    <w:p>
      <w:pPr>
        <w:spacing w:after="100"/>
      </w:pPr>
    </w:p>
    <w:p>
      <w:pPr>
        <w:spacing w:after="120" w:line="276"/>
      </w:pPr>
      <w:r>
        <w:rPr>
          <w:rFonts w:ascii="Georgia" w:cs="Georgia" w:eastAsia="Georgia" w:hAnsi="Georgia"/>
          <w:color w:val="2A2A2A"/>
          <w:sz w:val="22"/>
          <w:szCs w:val="22"/>
        </w:rPr>
        <w:t xml:space="preserve">Please find attached my preliminary assessment of the documentation package received from Öztürk Holding regarding the proposed Phase II joint venture at La Cité Gatineau. This assessment covers a review of all eight documents provided, an article-by-article analysis of every material provision, and a recommended counter-position based on your stated objectives and the realities of the Canadian market.</w:t>
      </w:r>
    </w:p>
    <w:p>
      <w:pPr>
        <w:spacing w:after="120" w:line="276"/>
      </w:pPr>
      <w:r>
        <w:rPr>
          <w:rFonts w:ascii="Georgia" w:cs="Georgia" w:eastAsia="Georgia" w:hAnsi="Georgia"/>
          <w:color w:val="2A2A2A"/>
          <w:sz w:val="22"/>
          <w:szCs w:val="22"/>
        </w:rPr>
        <w:t xml:space="preserve">In summary: the three proposals submitted by ÖZH do not reflect the 50/50 equity partnership you are seeking. However, several elements are negotiable, and there is a path forward if ÖZH is prepared to engage on your terms. The assessment identifies eight critical provisions that must be rejected or fundamentally renegotiated, and seven additional provisions requiring modification. It also outlines a counter-proposal structure that aligns with your preferred transaction: a Phase 1 share sale followed by co-development of Phase 2 under CMHC-backed financing with Canadian contractors of your choosing.</w:t>
      </w:r>
    </w:p>
    <w:p>
      <w:pPr>
        <w:spacing w:after="120" w:line="276"/>
      </w:pPr>
      <w:r>
        <w:rPr>
          <w:rFonts w:ascii="Georgia" w:cs="Georgia" w:eastAsia="Georgia" w:hAnsi="Georgia"/>
          <w:color w:val="2A2A2A"/>
          <w:sz w:val="22"/>
          <w:szCs w:val="22"/>
        </w:rPr>
        <w:t xml:space="preserve">This preliminary assessment is exactly that — preliminary. It represents my first-pass review, informed by our discussion on April 9 and a careful reading of the documents. It does not constitute legal advice. Before any counter-proposal is submitted or any agreement is signed, I strongly recommend formal legal review by qualified counsel.</w:t>
      </w:r>
    </w:p>
    <w:p>
      <w:pPr>
        <w:spacing w:after="140" w:before="200"/>
      </w:pPr>
      <w:r>
        <w:rPr>
          <w:rFonts w:ascii="Georgia" w:cs="Georgia" w:eastAsia="Georgia" w:hAnsi="Georgia"/>
          <w:b/>
          <w:bCs/>
          <w:color w:val="0C1A2E"/>
          <w:sz w:val="24"/>
          <w:szCs w:val="24"/>
        </w:rPr>
        <w:t xml:space="preserve">Proposed Next Steps</w:t>
      </w:r>
    </w:p>
    <w:p>
      <w:pPr>
        <w:spacing w:after="120" w:line="276"/>
      </w:pPr>
      <w:r>
        <w:rPr>
          <w:rFonts w:ascii="Georgia" w:cs="Georgia" w:eastAsia="Georgia" w:hAnsi="Georgia"/>
          <w:color w:val="2A2A2A"/>
          <w:sz w:val="22"/>
          <w:szCs w:val="22"/>
        </w:rPr>
        <w:t xml:space="preserve">Should you wish to proceed, I am prepared to undertake the following on your behalf:</w:t>
      </w:r>
    </w:p>
    <w:p>
      <w:r>
        <w:br w:type="page"/>
      </w:r>
    </w:p>
    <w:p>
      <w:pPr>
        <w:spacing w:after="120" w:line="276"/>
      </w:pPr>
      <w:r>
        <w:rPr>
          <w:rFonts w:ascii="Georgia" w:cs="Georgia" w:eastAsia="Georgia" w:hAnsi="Georgia"/>
          <w:color w:val="2A2A2A"/>
          <w:sz w:val="22"/>
          <w:szCs w:val="22"/>
        </w:rPr>
        <w:t xml:space="preserve"/>
      </w:r>
      <w:r>
        <w:rPr>
          <w:rFonts w:ascii="Georgia" w:cs="Georgia" w:eastAsia="Georgia" w:hAnsi="Georgia"/>
          <w:b/>
          <w:bCs/>
          <w:color w:val="2A2A2A"/>
          <w:sz w:val="22"/>
          <w:szCs w:val="22"/>
        </w:rPr>
        <w:t xml:space="preserve">1. Comprehensive Document Review with Legal Counsel.</w:t>
      </w:r>
      <w:r>
        <w:rPr>
          <w:rFonts w:ascii="Georgia" w:cs="Georgia" w:eastAsia="Georgia" w:hAnsi="Georgia"/>
          <w:color w:val="2A2A2A"/>
          <w:sz w:val="22"/>
          <w:szCs w:val="22"/>
        </w:rPr>
        <w:t xml:space="preserve"> I would work alongside your legal team to conduct a deeper analysis of the ÖZH documents, draft specific redline amendments, and prepare a formal counter-proposal for your review and approval. This would include restructuring the confidentiality agreement, eliminating the problematic provisions identified in the assessment, and drafting terms that reflect your preferred transaction structure.</w:t>
      </w:r>
    </w:p>
    <w:p>
      <w:pPr>
        <w:spacing w:after="120" w:line="276"/>
      </w:pPr>
      <w:r>
        <w:rPr>
          <w:rFonts w:ascii="Georgia" w:cs="Georgia" w:eastAsia="Georgia" w:hAnsi="Georgia"/>
          <w:color w:val="2A2A2A"/>
          <w:sz w:val="22"/>
          <w:szCs w:val="22"/>
        </w:rPr>
        <w:t xml:space="preserve"/>
      </w:r>
      <w:r>
        <w:rPr>
          <w:rFonts w:ascii="Georgia" w:cs="Georgia" w:eastAsia="Georgia" w:hAnsi="Georgia"/>
          <w:b/>
          <w:bCs/>
          <w:color w:val="2A2A2A"/>
          <w:sz w:val="22"/>
          <w:szCs w:val="22"/>
        </w:rPr>
        <w:t xml:space="preserve">2. Due Diligence — Öztürk Holding and Associated Parties.</w:t>
      </w:r>
      <w:r>
        <w:rPr>
          <w:rFonts w:ascii="Georgia" w:cs="Georgia" w:eastAsia="Georgia" w:hAnsi="Georgia"/>
          <w:color w:val="2A2A2A"/>
          <w:sz w:val="22"/>
          <w:szCs w:val="22"/>
        </w:rPr>
        <w:t xml:space="preserve"> A thorough background investigation of ÖZH, its principals, and all associated parties — including Global Affairs Canada validation, sanctions screening (Canadian, OFAC, EU), RCMP Financial Crimes consultation, audited financial verification, and confirmation of intermediary relationships. In-person verification in Spain and Turkey is available at your discretion.</w:t>
      </w:r>
    </w:p>
    <w:p>
      <w:pPr>
        <w:spacing w:after="120" w:line="276"/>
      </w:pPr>
      <w:r>
        <w:rPr>
          <w:rFonts w:ascii="Georgia" w:cs="Georgia" w:eastAsia="Georgia" w:hAnsi="Georgia"/>
          <w:color w:val="2A2A2A"/>
          <w:sz w:val="22"/>
          <w:szCs w:val="22"/>
        </w:rPr>
        <w:t xml:space="preserve"/>
      </w:r>
      <w:r>
        <w:rPr>
          <w:rFonts w:ascii="Georgia" w:cs="Georgia" w:eastAsia="Georgia" w:hAnsi="Georgia"/>
          <w:b/>
          <w:bCs/>
          <w:color w:val="2A2A2A"/>
          <w:sz w:val="22"/>
          <w:szCs w:val="22"/>
        </w:rPr>
        <w:t xml:space="preserve">3. Counter-Proposal Drafting.</w:t>
      </w:r>
      <w:r>
        <w:rPr>
          <w:rFonts w:ascii="Georgia" w:cs="Georgia" w:eastAsia="Georgia" w:hAnsi="Georgia"/>
          <w:color w:val="2A2A2A"/>
          <w:sz w:val="22"/>
          <w:szCs w:val="22"/>
        </w:rPr>
        <w:t xml:space="preserve"> Based on the assessment findings and your direction, I would prepare a formal written response to ÖZH that communicates your position clearly: what you are prepared to accept, what must change, and the structure under which you are prepared to proceed. This document would be designed for presentation to ÖZH’s representatives and would reflect the professionalism and institutional credibility that a transaction of this magnitude requires.</w:t>
      </w:r>
    </w:p>
    <w:p>
      <w:pPr>
        <w:spacing w:after="120" w:line="276"/>
      </w:pPr>
      <w:r>
        <w:rPr>
          <w:rFonts w:ascii="Georgia" w:cs="Georgia" w:eastAsia="Georgia" w:hAnsi="Georgia"/>
          <w:color w:val="2A2A2A"/>
          <w:sz w:val="22"/>
          <w:szCs w:val="22"/>
        </w:rPr>
        <w:t xml:space="preserve"/>
      </w:r>
      <w:r>
        <w:rPr>
          <w:rFonts w:ascii="Georgia" w:cs="Georgia" w:eastAsia="Georgia" w:hAnsi="Georgia"/>
          <w:b/>
          <w:bCs/>
          <w:color w:val="2A2A2A"/>
          <w:sz w:val="22"/>
          <w:szCs w:val="22"/>
        </w:rPr>
        <w:t xml:space="preserve">4. Investor Outreach Strategy.</w:t>
      </w:r>
      <w:r>
        <w:rPr>
          <w:rFonts w:ascii="Georgia" w:cs="Georgia" w:eastAsia="Georgia" w:hAnsi="Georgia"/>
          <w:color w:val="2A2A2A"/>
          <w:sz w:val="22"/>
          <w:szCs w:val="22"/>
        </w:rPr>
        <w:t xml:space="preserve"> In parallel, and at your discretion, I can develop and execute a targeted outreach strategy to identify alternative equity partners — institutional investors, sovereign funds, and qualified private investors who may be better aligned with your preferred deal structure. This ensures you are negotiating from a position of choice, not dependence on a single counterparty.</w:t>
      </w:r>
    </w:p>
    <w:p>
      <w:pPr>
        <w:spacing w:after="120" w:line="276"/>
      </w:pPr>
      <w:r>
        <w:rPr>
          <w:rFonts w:ascii="Georgia" w:cs="Georgia" w:eastAsia="Georgia" w:hAnsi="Georgia"/>
          <w:color w:val="2A2A2A"/>
          <w:sz w:val="22"/>
          <w:szCs w:val="22"/>
        </w:rPr>
        <w:t xml:space="preserve">I am available to discuss this assessment and the proposed next steps at your earliest convenience. The documents have a 10-day validity window from April 7, which means a response to ÖZH, even if only to acknowledge receipt and indicate that a formal counter-proposal is forthcoming, should be considered promptly.</w:t>
      </w:r>
    </w:p>
    <w:p>
      <w:pPr>
        <w:spacing w:after="120" w:line="276"/>
      </w:pPr>
      <w:r>
        <w:rPr>
          <w:rFonts w:ascii="Georgia" w:cs="Georgia" w:eastAsia="Georgia" w:hAnsi="Georgia"/>
          <w:color w:val="2A2A2A"/>
          <w:sz w:val="22"/>
          <w:szCs w:val="22"/>
        </w:rPr>
        <w:t xml:space="preserve">It has been a privilege to review this opportunity for you, Nader. The project is exceptional, and your negotiating position is stronger than these documents suggest. I look forward to helping you make the most of it.</w:t>
      </w:r>
    </w:p>
    <w:p>
      <w:pPr>
        <w:spacing w:after="200"/>
      </w:pPr>
    </w:p>
    <w:p>
      <w:pPr>
        <w:spacing w:after="120" w:line="276"/>
      </w:pPr>
      <w:r>
        <w:rPr>
          <w:rFonts w:ascii="Georgia" w:cs="Georgia" w:eastAsia="Georgia" w:hAnsi="Georgia"/>
          <w:color w:val="2A2A2A"/>
          <w:sz w:val="22"/>
          <w:szCs w:val="22"/>
        </w:rPr>
        <w:t xml:space="preserve">Respectfully,</w:t>
      </w:r>
    </w:p>
    <w:p>
      <w:pPr>
        <w:spacing w:after="400"/>
      </w:pPr>
    </w:p>
    <w:p>
      <w:pPr>
        <w:spacing w:after="30"/>
      </w:pPr>
      <w:r>
        <w:rPr>
          <w:rFonts w:ascii="Georgia" w:cs="Georgia" w:eastAsia="Georgia" w:hAnsi="Georgia"/>
          <w:b/>
          <w:bCs/>
          <w:color w:val="2A2A2A"/>
          <w:sz w:val="22"/>
          <w:szCs w:val="22"/>
        </w:rPr>
        <w:t xml:space="preserve">Joseph Soares</w:t>
      </w:r>
    </w:p>
    <w:p>
      <w:pPr>
        <w:spacing w:after="30"/>
      </w:pPr>
      <w:r>
        <w:rPr>
          <w:rFonts w:ascii="Georgia" w:cs="Georgia" w:eastAsia="Georgia" w:hAnsi="Georgia"/>
          <w:color w:val="555555"/>
          <w:sz w:val="20"/>
          <w:szCs w:val="20"/>
        </w:rPr>
        <w:t xml:space="preserve">MBA, PMP, Adm.A.</w:t>
      </w:r>
    </w:p>
    <w:p>
      <w:pPr>
        <w:spacing w:after="30"/>
      </w:pPr>
      <w:r>
        <w:rPr>
          <w:rFonts w:ascii="Georgia" w:cs="Georgia" w:eastAsia="Georgia" w:hAnsi="Georgia"/>
          <w:color w:val="555555"/>
          <w:sz w:val="20"/>
          <w:szCs w:val="20"/>
        </w:rPr>
        <w:t xml:space="preserve">Managing Partner, IBPROM Corp</w:t>
      </w:r>
    </w:p>
    <w:p>
      <w:pPr>
        <w:pBdr>
          <w:top w:val="single" w:color="C9A84C" w:sz="2" w:space="1"/>
        </w:pBdr>
        <w:spacing w:after="60" w:before="200"/>
      </w:pPr>
      <w:r>
        <w:rPr>
          <w:rFonts w:ascii="Georgia" w:cs="Georgia" w:eastAsia="Georgia" w:hAnsi="Georgia"/>
          <w:b/>
          <w:bCs/>
          <w:color w:val="555555"/>
          <w:sz w:val="18"/>
          <w:szCs w:val="18"/>
        </w:rPr>
        <w:t xml:space="preserve">Encl: </w:t>
      </w:r>
      <w:r>
        <w:rPr>
          <w:rFonts w:ascii="Georgia" w:cs="Georgia" w:eastAsia="Georgia" w:hAnsi="Georgia"/>
          <w:i/>
          <w:iCs/>
          <w:color w:val="555555"/>
          <w:sz w:val="18"/>
          <w:szCs w:val="18"/>
        </w:rPr>
        <w:t xml:space="preserve">Preliminary Assessment (attached)</w:t>
      </w:r>
    </w:p>
    <w:p>
      <w:pPr>
        <w:sectPr>
          <w:footerReference w:type="default" r:id="rId7"/>
          <w:pgSz w:w="12240" w:h="15840" w:orient="portrait"/>
          <w:pgMar w:top="1000" w:right="1440" w:bottom="1200" w:left="144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trHeight w:val="14400" w:hRule="exact"/>
        </w:trPr>
        <w:tc>
          <w:tcPr>
            <w:tcW w:type="dxa" w:w="10800"/>
            <w:tcBorders>
              <w:top w:val="none"/>
              <w:left w:val="none"/>
              <w:bottom w:val="none"/>
              <w:right w:val="none"/>
            </w:tcBorders>
            <w:shd w:fill="1B3154" w:val="clear"/>
            <w:tcMar>
              <w:top w:type="dxa" w:w="200"/>
              <w:left w:type="dxa" w:w="600"/>
              <w:bottom w:type="dxa" w:w="200"/>
              <w:right w:type="dxa" w:w="600"/>
            </w:tcMar>
            <w:vAlign w:val="center"/>
          </w:tcPr>
          <w:p>
            <w:pPr>
              <w:spacing w:after="600"/>
              <w:jc w:val="center"/>
            </w:pPr>
            <w:r>
              <w:rPr>
                <w:rFonts w:ascii="Georgia" w:cs="Georgia" w:eastAsia="Georgia" w:hAnsi="Georgia"/>
                <w:b/>
                <w:bCs/>
                <w:color w:val="C9A84C"/>
                <w:sz w:val="52"/>
                <w:szCs w:val="52"/>
              </w:rPr>
              <w:t xml:space="preserve">IBPROM</w:t>
            </w:r>
          </w:p>
          <w:p>
            <w:pPr>
              <w:spacing w:after="80"/>
              <w:jc w:val="center"/>
            </w:pPr>
            <w:r>
              <w:rPr>
                <w:rFonts w:ascii="Arial" w:cs="Arial" w:eastAsia="Arial" w:hAnsi="Arial"/>
                <w:b/>
                <w:bCs/>
                <w:caps/>
                <w:color w:val="CC4444"/>
                <w:spacing w:val="200"/>
                <w:sz w:val="22"/>
                <w:szCs w:val="22"/>
              </w:rPr>
              <w:t xml:space="preserve">CONFIDENTIAL</w:t>
            </w:r>
          </w:p>
          <w:p>
            <w:pPr>
              <w:spacing w:after="300"/>
              <w:jc w:val="center"/>
            </w:pPr>
          </w:p>
          <w:p>
            <w:pPr>
              <w:spacing w:after="120"/>
              <w:jc w:val="center"/>
            </w:pPr>
            <w:r>
              <w:rPr>
                <w:rFonts w:ascii="Georgia" w:cs="Georgia" w:eastAsia="Georgia" w:hAnsi="Georgia"/>
                <w:b/>
                <w:bCs/>
                <w:color w:val="FFFFFF"/>
                <w:sz w:val="40"/>
                <w:szCs w:val="40"/>
              </w:rPr>
              <w:t xml:space="preserve">PRELIMINARY ASSESSMENT</w:t>
            </w:r>
          </w:p>
          <w:p>
            <w:pPr>
              <w:spacing w:after="80"/>
              <w:jc w:val="center"/>
            </w:pPr>
            <w:r>
              <w:rPr>
                <w:rFonts w:ascii="Georgia" w:cs="Georgia" w:eastAsia="Georgia" w:hAnsi="Georgia"/>
                <w:color w:val="C9A84C"/>
                <w:sz w:val="28"/>
                <w:szCs w:val="28"/>
              </w:rPr>
              <w:t xml:space="preserve">—</w:t>
            </w:r>
          </w:p>
          <w:p>
            <w:pPr>
              <w:spacing w:after="60"/>
              <w:jc w:val="center"/>
            </w:pPr>
            <w:r>
              <w:rPr>
                <w:rFonts w:ascii="Georgia" w:cs="Georgia" w:eastAsia="Georgia" w:hAnsi="Georgia"/>
                <w:color w:val="DDDDDD"/>
                <w:sz w:val="26"/>
                <w:szCs w:val="26"/>
              </w:rPr>
              <w:t xml:space="preserve">La Cité Gatineau — Phase II Development</w:t>
            </w:r>
          </w:p>
          <w:p>
            <w:pPr>
              <w:spacing w:after="200"/>
              <w:jc w:val="center"/>
            </w:pPr>
            <w:r>
              <w:rPr>
                <w:rFonts w:ascii="Georgia" w:cs="Georgia" w:eastAsia="Georgia" w:hAnsi="Georgia"/>
                <w:color w:val="999999"/>
                <w:sz w:val="22"/>
                <w:szCs w:val="22"/>
              </w:rPr>
              <w:t xml:space="preserve">Öztürk Holding Joint Venture Proposal</w:t>
            </w:r>
          </w:p>
          <w:p>
            <w:pPr>
              <w:spacing w:after="600"/>
              <w:jc w:val="center"/>
            </w:pPr>
          </w:p>
          <w:p>
            <w:pPr>
              <w:spacing w:after="60"/>
              <w:jc w:val="center"/>
            </w:pPr>
            <w:r>
              <w:rPr>
                <w:rFonts w:ascii="Georgia" w:cs="Georgia" w:eastAsia="Georgia" w:hAnsi="Georgia"/>
                <w:color w:val="CCCCCC"/>
                <w:sz w:val="20"/>
                <w:szCs w:val="20"/>
              </w:rPr>
              <w:t xml:space="preserve">Prepared for Dr. Nader Agharazi-Dormani</w:t>
            </w:r>
          </w:p>
          <w:p>
            <w:pPr>
              <w:spacing w:after="60"/>
              <w:jc w:val="center"/>
            </w:pPr>
            <w:r>
              <w:rPr>
                <w:rFonts w:ascii="Georgia" w:cs="Georgia" w:eastAsia="Georgia" w:hAnsi="Georgia"/>
                <w:color w:val="999999"/>
                <w:sz w:val="18"/>
                <w:szCs w:val="18"/>
              </w:rPr>
              <w:t xml:space="preserve">9266569 Canada Inc.</w:t>
            </w:r>
          </w:p>
          <w:p>
            <w:pPr>
              <w:spacing w:after="300"/>
              <w:jc w:val="center"/>
            </w:pPr>
          </w:p>
          <w:p>
            <w:pPr>
              <w:spacing w:after="40"/>
              <w:jc w:val="center"/>
            </w:pPr>
            <w:r>
              <w:rPr>
                <w:rFonts w:ascii="Georgia" w:cs="Georgia" w:eastAsia="Georgia" w:hAnsi="Georgia"/>
                <w:color w:val="C9A84C"/>
                <w:sz w:val="18"/>
                <w:szCs w:val="18"/>
              </w:rPr>
              <w:t xml:space="preserve">Joseph Soares, MBA, PMP, Adm.A.</w:t>
            </w:r>
          </w:p>
          <w:p>
            <w:pPr>
              <w:spacing w:after="40"/>
              <w:jc w:val="center"/>
            </w:pPr>
            <w:r>
              <w:rPr>
                <w:rFonts w:ascii="Georgia" w:cs="Georgia" w:eastAsia="Georgia" w:hAnsi="Georgia"/>
                <w:color w:val="999999"/>
                <w:sz w:val="17"/>
                <w:szCs w:val="17"/>
              </w:rPr>
              <w:t xml:space="preserve">IBPROM Corp</w:t>
            </w:r>
          </w:p>
          <w:p>
            <w:pPr>
              <w:jc w:val="center"/>
            </w:pPr>
            <w:r>
              <w:rPr>
                <w:rFonts w:ascii="Georgia" w:cs="Georgia" w:eastAsia="Georgia" w:hAnsi="Georgia"/>
                <w:color w:val="999999"/>
                <w:sz w:val="17"/>
                <w:szCs w:val="17"/>
              </w:rPr>
              <w:t xml:space="preserve">April 9, 2026</w:t>
            </w:r>
          </w:p>
        </w:tc>
      </w:tr>
    </w:tbl>
    <w:p>
      <w:pPr>
        <w:sectPr>
          <w:headerReference w:type="default" r:id="rId8"/>
          <w:footerReference w:type="default" r:id="rId9"/>
          <w:type w:val="nextPage"/>
          <w:pgSz w:w="12240" w:h="15840" w:orient="portrait"/>
          <w:pgMar w:top="720" w:right="720" w:bottom="720" w:left="720" w:header="708" w:footer="708" w:gutter="0"/>
          <w:pgNumType/>
          <w:docGrid w:linePitch="360"/>
        </w:sectPr>
      </w:pPr>
    </w:p>
    <w:p>
      <w:pPr>
        <w:pStyle w:val="Heading1"/>
        <w:spacing w:after="160" w:before="300"/>
      </w:pPr>
      <w:r>
        <w:rPr>
          <w:rFonts w:ascii="Georgia" w:cs="Georgia" w:eastAsia="Georgia" w:hAnsi="Georgia"/>
          <w:b/>
          <w:bCs/>
          <w:color w:val="0C1A2E"/>
          <w:sz w:val="30"/>
          <w:szCs w:val="30"/>
        </w:rPr>
        <w:t xml:space="preserve">1. Executive Summary</w:t>
      </w:r>
    </w:p>
    <w:p>
      <w:pPr>
        <w:spacing w:after="100" w:line="276"/>
      </w:pPr>
      <w:r>
        <w:rPr>
          <w:rFonts w:ascii="Georgia" w:cs="Georgia" w:eastAsia="Georgia" w:hAnsi="Georgia"/>
          <w:color w:val="2A2A2A"/>
          <w:sz w:val="21"/>
          <w:szCs w:val="21"/>
        </w:rPr>
        <w:t xml:space="preserve">This assessment presents my preliminary review of the documentation package received from Öztürk Holding in response to the investment application your team submitted for Phase II of La Cité Gatineau. I have reviewed eight documents in total, analyzed every material provision, and cross-referenced the proposals against the transaction structure you described to me during our meeting on April 9.</w:t>
      </w:r>
    </w:p>
    <w:p>
      <w:pPr>
        <w:spacing w:after="100" w:line="276"/>
      </w:pPr>
      <w:r>
        <w:rPr>
          <w:rFonts w:ascii="Georgia" w:cs="Georgia" w:eastAsia="Georgia" w:hAnsi="Georgia"/>
          <w:color w:val="2A2A2A"/>
          <w:sz w:val="21"/>
          <w:szCs w:val="21"/>
        </w:rPr>
        <w:t xml:space="preserve">The short version: none of what the Turks have put on the table matches what you are looking for. You asked for a 50/50 equity partner. What they have offered, across three different proposals, is some variation of a lender, a contractor, or a financier — with conditions attached that would hand them significant control over your project while you carry the risk. That is not a partnership.</w:t>
      </w:r>
    </w:p>
    <w:p>
      <w:pPr>
        <w:spacing w:after="100" w:line="276"/>
      </w:pPr>
      <w:r>
        <w:rPr>
          <w:rFonts w:ascii="Georgia" w:cs="Georgia" w:eastAsia="Georgia" w:hAnsi="Georgia"/>
          <w:color w:val="2A2A2A"/>
          <w:sz w:val="21"/>
          <w:szCs w:val="21"/>
        </w:rPr>
        <w:t xml:space="preserve">That said, they have indicated flexibility, and there is enough structure here to work with if you choose to engage further — on your terms, not theirs.</w:t>
      </w:r>
    </w:p>
    <w:p>
      <w:pPr>
        <w:spacing w:after="100" w:line="276"/>
      </w:pPr>
      <w:r>
        <w:rPr>
          <w:rFonts w:ascii="Georgia" w:cs="Georgia" w:eastAsia="Georgia" w:hAnsi="Georgia"/>
          <w:color w:val="2A2A2A"/>
          <w:sz w:val="21"/>
          <w:szCs w:val="21"/>
        </w:rPr>
        <w:t xml:space="preserve">I have identified eight provisions I consider critical — meaning they must be rejected or fundamentally renegotiated before any agreement is signed. Another seven require material modification. The rest is either standard or workable with minor adjustments. Every finding in this document cites the specific document and article number so your legal counsel can verify independently.</w:t>
      </w:r>
    </w:p>
    <w:p>
      <w:pPr>
        <w:spacing w:after="100" w:line="276"/>
      </w:pPr>
      <w:r>
        <w:rPr>
          <w:rFonts w:ascii="Georgia" w:cs="Georgia" w:eastAsia="Georgia" w:hAnsi="Georgia"/>
          <w:color w:val="2A2A2A"/>
          <w:sz w:val="21"/>
          <w:szCs w:val="21"/>
        </w:rPr>
        <w:t xml:space="preserve">Where I reference information from our meeting on April 9, I have marked it clearly so there is no confusion between what the documents say and what you told me in conversation.</w:t>
      </w:r>
    </w:p>
    <w:p>
      <w:r>
        <w:br w:type="page"/>
      </w:r>
    </w:p>
    <w:p>
      <w:pPr>
        <w:pStyle w:val="Heading1"/>
        <w:spacing w:after="160" w:before="300"/>
      </w:pPr>
      <w:r>
        <w:rPr>
          <w:rFonts w:ascii="Georgia" w:cs="Georgia" w:eastAsia="Georgia" w:hAnsi="Georgia"/>
          <w:b/>
          <w:bCs/>
          <w:color w:val="0C1A2E"/>
          <w:sz w:val="30"/>
          <w:szCs w:val="30"/>
        </w:rPr>
        <w:t xml:space="preserve">2. Document Inventory</w:t>
      </w:r>
    </w:p>
    <w:p>
      <w:pPr>
        <w:spacing w:after="100" w:line="276"/>
      </w:pPr>
      <w:r>
        <w:rPr>
          <w:rFonts w:ascii="Georgia" w:cs="Georgia" w:eastAsia="Georgia" w:hAnsi="Georgia"/>
          <w:color w:val="2A2A2A"/>
          <w:sz w:val="21"/>
          <w:szCs w:val="21"/>
        </w:rPr>
        <w:t xml:space="preserve">Eight documents make up the package. The first three were prepared by your team and sent to ÖZH as part of the application. The remaining five came from ÖZH in response. I have listed them in the order that makes the most sense for review — your team’s submissions first, then ÖZH’s documents in ascending order of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900"/>
        <w:gridCol w:w="4760"/>
      </w:tblGrid>
      <w:tr>
        <w:tc>
          <w:tcPr>
            <w:tcW w:type="dxa" w:w="5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2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9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Pages</w:t>
            </w:r>
          </w:p>
        </w:tc>
        <w:tc>
          <w:tcPr>
            <w:tcW w:type="dxa" w:w="47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1</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Investment &amp; JV Funding Application Form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6</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ÖZH provided this form as a template. Your team completed it and returned it. It requests $20M CAD in equity, proposes a JV structure with 50/50 ownership, and identifies Nader Agharazi-Dormani and Mehdi Michael Razi as the beneficial owners of 9266569 Canada Inc. Signed by the president on March 26, 2026.</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2</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Feasibility Study — Phase II</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7</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Prepared by Alex Vachon and your team. Sent to ÖZH as supporting documentation. Projects 305 units, $132.7M total cost, $6.67M stabilized NOI, and a 1.11x debt service coverage ratio. This is your team’s work, not the Turks’.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3</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Financial Summary (financials.pdf)</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1</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Also prepared by your team. One-page model showing 305 units, $131.2M construction cost, 4% interest rate, and a 1.44x DSCR. Some figures have scan artifacts. Note: the DSCR here (1.44x) differs from the Feasibility Study (1.11x) — this discrepancy should be reconciled before sending anything further.</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4</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Handbook &amp; Request Form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10</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ÖZH’s institutional investment handbook. Describes their internal evaluation pipeline: intake, due diligence, credit committee, board approval. Contains a blank due diligence form for future use. The handbook itself is informational — no binding provisions.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5</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Roadmap (with Confidentiality &amp; JV Agreements)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9</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The most consequential document in the package. Contains three embedded agreements: (a) a procedural roadmap with the stablecoin/crypto requirement, (b) a confidentiality agreement with a 10-year global non-compete and London arbitration, and (c) a joint venture investment agreement framework with a 1% consultant fee and 27 required annexes. Start here.</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6</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Proposal 1 — PIP Model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5</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ÖZH’s first proposal. Structured as a loan, not equity: €20M at EURIBOR+4.50% (6.75%), with repayment models over 5, 10, or 15 years. Includes a share pledge on your equity, power of attorney to ÖZH nominees, and the stablecoin deposit requirement. This is the heaviest of the three proposals.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7</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Proposal 2 — EPC Model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2</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ÖZH as turnkey contractor. No investment or partnership. Requires 10–30% advance payment, delivers in 30 months, includes 2-year warranty. The simplest proposal but does not address your need for a JV partner.</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8</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Proposal 3A — EPC + Financing Model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4</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You provide 20–40% equity, ÖZH arranges financing and builds. Article 2 states explicitly that ÖZH “will not be involved as an equity partner.” They control all financing disbursements. This is a contractor-financier arrangement, not a joint venture.</w:t>
            </w:r>
          </w:p>
        </w:tc>
      </w:tr>
    </w:tbl>
    <w:p>
      <w:pPr>
        <w:spacing w:after="60"/>
      </w:pPr>
    </w:p>
    <w:p>
      <w:pPr>
        <w:spacing w:after="80"/>
      </w:pPr>
      <w:r>
        <w:rPr>
          <w:rFonts w:ascii="Georgia" w:cs="Georgia" w:eastAsia="Georgia" w:hAnsi="Georgia"/>
          <w:i/>
          <w:iCs/>
          <w:color w:val="555555"/>
          <w:sz w:val="19"/>
          <w:szCs w:val="19"/>
        </w:rPr>
        <w:t xml:space="preserve">Note: Documents 1–3 are your team’s own work and should not be renegotiated with ÖZH. The counter-position applies to Documents 4–8 only. I recommend assembling a physical binder with tabbed dividers corresponding to the numbers above so that all parties can reference specific documents during negotiation.</w:t>
      </w:r>
    </w:p>
    <w:p>
      <w:r>
        <w:br w:type="page"/>
      </w:r>
    </w:p>
    <w:p>
      <w:pPr>
        <w:pStyle w:val="Heading1"/>
        <w:spacing w:after="160" w:before="300"/>
      </w:pPr>
      <w:r>
        <w:rPr>
          <w:rFonts w:ascii="Georgia" w:cs="Georgia" w:eastAsia="Georgia" w:hAnsi="Georgia"/>
          <w:b/>
          <w:bCs/>
          <w:color w:val="0C1A2E"/>
          <w:sz w:val="30"/>
          <w:szCs w:val="30"/>
        </w:rPr>
        <w:t xml:space="preserve">3. Meeting Summary</w:t>
      </w:r>
    </w:p>
    <w:p>
      <w:pPr>
        <w:spacing w:after="80"/>
      </w:pPr>
      <w:r>
        <w:rPr>
          <w:rFonts w:ascii="Georgia" w:cs="Georgia" w:eastAsia="Georgia" w:hAnsi="Georgia"/>
          <w:i/>
          <w:iCs/>
          <w:color w:val="555555"/>
          <w:sz w:val="19"/>
          <w:szCs w:val="19"/>
        </w:rPr>
        <w:t xml:space="preserve">[Based on in-person meeting with Dr. Dormani and Alexandre Vachon at La Cité Gatineau, April 9, 2026]</w:t>
      </w:r>
    </w:p>
    <w:p>
      <w:pPr>
        <w:spacing w:after="100" w:line="276"/>
      </w:pPr>
      <w:r>
        <w:rPr>
          <w:rFonts w:ascii="Georgia" w:cs="Georgia" w:eastAsia="Georgia" w:hAnsi="Georgia"/>
          <w:color w:val="2A2A2A"/>
          <w:sz w:val="21"/>
          <w:szCs w:val="21"/>
        </w:rPr>
        <w:t xml:space="preserve">The following reflects what you told me during our meeting. I am recording it here so that the counter-proposal is grounded in your actual objectives, not assumptions.</w:t>
      </w:r>
    </w:p>
    <w:p>
      <w:pPr>
        <w:pStyle w:val="Heading3"/>
        <w:spacing w:after="100" w:before="180"/>
      </w:pPr>
      <w:r>
        <w:rPr>
          <w:rFonts w:ascii="Georgia" w:cs="Georgia" w:eastAsia="Georgia" w:hAnsi="Georgia"/>
          <w:b/>
          <w:bCs/>
          <w:color w:val="34495E"/>
          <w:sz w:val="21"/>
          <w:szCs w:val="21"/>
        </w:rPr>
        <w:t xml:space="preserve">Your Preferred Deal Structure</w:t>
      </w:r>
    </w:p>
    <w:p>
      <w:pPr>
        <w:spacing w:after="100" w:line="276"/>
      </w:pPr>
      <w:r>
        <w:rPr>
          <w:rFonts w:ascii="Georgia" w:cs="Georgia" w:eastAsia="Georgia" w:hAnsi="Georgia"/>
          <w:color w:val="2A2A2A"/>
          <w:sz w:val="21"/>
          <w:szCs w:val="21"/>
        </w:rPr>
        <w:t xml:space="preserve">You want ÖZH to come in as a 50/50 partner on Phase 1 by purchasing shares in 9266569 Canada Inc. — not through an asset sale, but a share transfer. This lets you recover a meaningful portion of the $50M+ you have invested in Phase 1 without triggering property transfer tax or disrupting the existing corporate structure, tax accounts, or CMHC relationship. Phase 2 would then be co-developed through the same entity, with the benefit of an established track record.</w:t>
      </w:r>
    </w:p>
    <w:p>
      <w:pPr>
        <w:pStyle w:val="Heading3"/>
        <w:spacing w:after="100" w:before="180"/>
      </w:pPr>
      <w:r>
        <w:rPr>
          <w:rFonts w:ascii="Georgia" w:cs="Georgia" w:eastAsia="Georgia" w:hAnsi="Georgia"/>
          <w:b/>
          <w:bCs/>
          <w:color w:val="34495E"/>
          <w:sz w:val="21"/>
          <w:szCs w:val="21"/>
        </w:rPr>
        <w:t xml:space="preserve">Phase 1 Performance</w:t>
      </w:r>
    </w:p>
    <w:p>
      <w:pPr>
        <w:spacing w:after="100" w:line="276"/>
      </w:pPr>
      <w:r>
        <w:rPr>
          <w:rFonts w:ascii="Georgia" w:cs="Georgia" w:eastAsia="Georgia" w:hAnsi="Georgia"/>
          <w:color w:val="2A2A2A"/>
          <w:sz w:val="21"/>
          <w:szCs w:val="21"/>
        </w:rPr>
        <w:t xml:space="preserve">The building is running at 97% residential occupancy. You carry an $86M CMHC loan on it, performing well. Your asking price for a 50% interest is based on a $145M valuation, which puts the cap rate at roughly 4.4–4.5%. You mentioned a recent comparable — a 30-year-old building in Laval that sold at 4.5% cap for $90M. Your building is newer, better located, and fully stabilized. The math supports your valuation.</w:t>
      </w:r>
    </w:p>
    <w:p>
      <w:pPr>
        <w:pStyle w:val="Heading3"/>
        <w:spacing w:after="100" w:before="180"/>
      </w:pPr>
      <w:r>
        <w:rPr>
          <w:rFonts w:ascii="Georgia" w:cs="Georgia" w:eastAsia="Georgia" w:hAnsi="Georgia"/>
          <w:b/>
          <w:bCs/>
          <w:color w:val="34495E"/>
          <w:sz w:val="21"/>
          <w:szCs w:val="21"/>
        </w:rPr>
        <w:t xml:space="preserve">Phase 2 Details</w:t>
      </w:r>
    </w:p>
    <w:p>
      <w:pPr>
        <w:spacing w:after="100" w:line="276"/>
      </w:pPr>
      <w:r>
        <w:rPr>
          <w:rFonts w:ascii="Georgia" w:cs="Georgia" w:eastAsia="Georgia" w:hAnsi="Georgia"/>
          <w:color w:val="2A2A2A"/>
          <w:sz w:val="21"/>
          <w:szCs w:val="21"/>
        </w:rPr>
        <w:t xml:space="preserve">305 residential units, 25 stories, plus a spa. You have deliberately reduced the unit count from the original 350 to accommodate the spa and improve the product. Target rents: studio at $1,220, one-bedroom at $1,850, two-bedroom at $2,800, three-bedroom at $3,600. You pointed out that these rents sit roughly $1,000 below what the competition is getting on two-bedrooms. That is a deliberate competitive advantage — it drives occupancy and gives you escalation room.</w:t>
      </w:r>
    </w:p>
    <w:p>
      <w:pPr>
        <w:pStyle w:val="Heading3"/>
        <w:spacing w:after="100" w:before="180"/>
      </w:pPr>
      <w:r>
        <w:rPr>
          <w:rFonts w:ascii="Georgia" w:cs="Georgia" w:eastAsia="Georgia" w:hAnsi="Georgia"/>
          <w:b/>
          <w:bCs/>
          <w:color w:val="34495E"/>
          <w:sz w:val="21"/>
          <w:szCs w:val="21"/>
        </w:rPr>
        <w:t xml:space="preserve">Construction and Financing</w:t>
      </w:r>
    </w:p>
    <w:p>
      <w:pPr>
        <w:spacing w:after="100" w:line="276"/>
      </w:pPr>
      <w:r>
        <w:rPr>
          <w:rFonts w:ascii="Georgia" w:cs="Georgia" w:eastAsia="Georgia" w:hAnsi="Georgia"/>
          <w:color w:val="2A2A2A"/>
          <w:sz w:val="21"/>
          <w:szCs w:val="21"/>
        </w:rPr>
        <w:t xml:space="preserve">You intend to select your own contractors from relationships you have built over years: BBL Construction, Pomerleau, and a third candidate. The model is turnkey with independent verification by Turner &amp; Townsend, who issue monthly cost certifications to the bank. For debt, you plan to use CMHC Select financing — approximately 1% below market, with long-term amortization. You told me four banks are already competing for the mandate, and given Phase 1’s track record, you do not anticipate difficulty with CMHC approval.</w:t>
      </w:r>
    </w:p>
    <w:p>
      <w:pPr>
        <w:pStyle w:val="Heading3"/>
        <w:spacing w:after="100" w:before="180"/>
      </w:pPr>
      <w:r>
        <w:rPr>
          <w:rFonts w:ascii="Georgia" w:cs="Georgia" w:eastAsia="Georgia" w:hAnsi="Georgia"/>
          <w:b/>
          <w:bCs/>
          <w:color w:val="34495E"/>
          <w:sz w:val="21"/>
          <w:szCs w:val="21"/>
        </w:rPr>
        <w:t xml:space="preserve">Land and Equity</w:t>
      </w:r>
    </w:p>
    <w:p>
      <w:pPr>
        <w:spacing w:after="100" w:line="276"/>
      </w:pPr>
      <w:r>
        <w:rPr>
          <w:rFonts w:ascii="Georgia" w:cs="Georgia" w:eastAsia="Georgia" w:hAnsi="Georgia"/>
          <w:color w:val="2A2A2A"/>
          <w:sz w:val="21"/>
          <w:szCs w:val="21"/>
        </w:rPr>
        <w:t xml:space="preserve">The Phase 2 land is valued at $15M, with a certified appraisal on hand. Your equity contribution would be $15M (land) plus $5M cash. You also mentioned two land deals in advanced stages — Group Maurice and a Montreal-based contractor — that, if they close, would clear your existing mortgage and potentially eliminate the need for any external equity at all. That is a strong fallback position.</w:t>
      </w:r>
    </w:p>
    <w:p>
      <w:pPr>
        <w:pStyle w:val="Heading3"/>
        <w:spacing w:after="100" w:before="180"/>
      </w:pPr>
      <w:r>
        <w:rPr>
          <w:rFonts w:ascii="Georgia" w:cs="Georgia" w:eastAsia="Georgia" w:hAnsi="Georgia"/>
          <w:b/>
          <w:bCs/>
          <w:color w:val="34495E"/>
          <w:sz w:val="21"/>
          <w:szCs w:val="21"/>
        </w:rPr>
        <w:t xml:space="preserve">Your Initial Reaction to the ÖZH Documents</w:t>
      </w:r>
    </w:p>
    <w:p>
      <w:pPr>
        <w:spacing w:after="100" w:line="276"/>
      </w:pPr>
      <w:r>
        <w:rPr>
          <w:rFonts w:ascii="Georgia" w:cs="Georgia" w:eastAsia="Georgia" w:hAnsi="Georgia"/>
          <w:color w:val="2A2A2A"/>
          <w:sz w:val="21"/>
          <w:szCs w:val="21"/>
        </w:rPr>
        <w:t xml:space="preserve">When we looked through the documents together, you immediately flagged the cryptocurrency requirement and the upfront fee structure as problems. Your view, which I share: there is no reason to involve stablecoins or cold wallets in a Canadian real estate transaction backed by CMHC financing. The banks are already lining up. You directed me to identify everything in these documents that does not fit Canadian practice and to prepare a clear picture of what is workable and what is not.</w:t>
      </w:r>
    </w:p>
    <w:p>
      <w:r>
        <w:br w:type="page"/>
      </w:r>
    </w:p>
    <w:p>
      <w:pPr>
        <w:pStyle w:val="Heading1"/>
        <w:spacing w:after="160" w:before="300"/>
      </w:pPr>
      <w:r>
        <w:rPr>
          <w:rFonts w:ascii="Georgia" w:cs="Georgia" w:eastAsia="Georgia" w:hAnsi="Georgia"/>
          <w:b/>
          <w:bCs/>
          <w:color w:val="0C1A2E"/>
          <w:sz w:val="30"/>
          <w:szCs w:val="30"/>
        </w:rPr>
        <w:t xml:space="preserve">4. Provision-by-Provision Analysis</w:t>
      </w:r>
    </w:p>
    <w:p>
      <w:pPr>
        <w:spacing w:after="100" w:line="276"/>
      </w:pPr>
      <w:r>
        <w:rPr>
          <w:rFonts w:ascii="Georgia" w:cs="Georgia" w:eastAsia="Georgia" w:hAnsi="Georgia"/>
          <w:color w:val="2A2A2A"/>
          <w:sz w:val="21"/>
          <w:szCs w:val="21"/>
        </w:rPr>
        <w:t xml:space="preserve">What follows is my review of each ÖZH document, article by article, with a severity rating for each material provision. I have used three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75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Must be rejected or rebuilt from scratch. Proceeding with this provision as written exposes you to unacceptable risk.</w:t>
            </w:r>
          </w:p>
        </w:tc>
      </w:tr>
      <w:tr>
        <w:tc>
          <w:tcPr>
            <w:tcW w:type="dxa" w:w="1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75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Needs material changes. The concept may be salvageable but the current language is not.</w:t>
            </w:r>
          </w:p>
        </w:tc>
      </w:tr>
      <w:tr>
        <w:tc>
          <w:tcPr>
            <w:tcW w:type="dxa" w:w="18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75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Standard or reasonable. Can proceed with minor adjustments or as-is.</w:t>
            </w:r>
          </w:p>
        </w:tc>
      </w:tr>
    </w:tbl>
    <w:p>
      <w:pPr>
        <w:spacing w:after="60"/>
      </w:pPr>
    </w:p>
    <w:p>
      <w:pPr>
        <w:pStyle w:val="Heading2"/>
        <w:spacing w:after="120" w:before="240"/>
      </w:pPr>
      <w:r>
        <w:rPr>
          <w:rFonts w:ascii="Georgia" w:cs="Georgia" w:eastAsia="Georgia" w:hAnsi="Georgia"/>
          <w:b/>
          <w:bCs/>
          <w:color w:val="0C1A2E"/>
          <w:sz w:val="24"/>
          <w:szCs w:val="24"/>
        </w:rPr>
        <w:t xml:space="preserve">4.1 Roadmap — Procedural Roadmap (Articles 1–4)</w:t>
      </w:r>
    </w:p>
    <w:p>
      <w:pPr>
        <w:spacing w:after="80"/>
      </w:pPr>
      <w:r>
        <w:rPr>
          <w:rFonts w:ascii="Georgia" w:cs="Georgia" w:eastAsia="Georgia" w:hAnsi="Georgia"/>
          <w:i/>
          <w:iCs/>
          <w:color w:val="555555"/>
          <w:sz w:val="19"/>
          <w:szCs w:val="19"/>
        </w:rPr>
        <w:t xml:space="preserve">[Roadmap.pdf, pages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260"/>
      </w:tblGrid>
      <w:tr>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Provision</w:t>
            </w:r>
          </w:p>
        </w:tc>
        <w:tc>
          <w:tcPr>
            <w:tcW w:type="dxa" w:w="39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What It Says</w:t>
            </w:r>
          </w:p>
        </w:tc>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Rating</w:t>
            </w:r>
          </w:p>
        </w:tc>
        <w:tc>
          <w:tcPr>
            <w:tcW w:type="dxa" w:w="32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My Assessment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1.1</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Local Partner must open a cryptocurrency exchange account and acquire stablecoins.</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Full analysis in Section 5 below. In short: no legitimate reason for this in a CMHC-backed deal. Reject.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1.2</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Transfer stablecoins to a cold wallet designated by ÖZH.</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This moves your money into a wallet they designate. You lose direct control. Unacceptable.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2–3</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Notification and verification procedures: ÖZH monitors HASH codes, wallet balances, exchange account status.</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Invasive financial monitoring. These provisions are dependent on the crypto requirement — if Art. 1 goes, these go with it.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4</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JV execution stage — formal signing and implementation.</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Procedural. No concerns.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Important Notes</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90-day hold on stablecoin deposit. ÖZH retains unilateral termination right during this period.</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Your money is locked for 90 days while they can walk away at any time, for any reason. That is not how a serious partner behaves.</w:t>
            </w:r>
          </w:p>
        </w:tc>
      </w:tr>
    </w:tbl>
    <w:p>
      <w:pPr>
        <w:spacing w:after="60"/>
      </w:pPr>
    </w:p>
    <w:p>
      <w:pPr>
        <w:pStyle w:val="Heading2"/>
        <w:spacing w:after="120" w:before="240"/>
      </w:pPr>
      <w:r>
        <w:rPr>
          <w:rFonts w:ascii="Georgia" w:cs="Georgia" w:eastAsia="Georgia" w:hAnsi="Georgia"/>
          <w:b/>
          <w:bCs/>
          <w:color w:val="0C1A2E"/>
          <w:sz w:val="24"/>
          <w:szCs w:val="24"/>
        </w:rPr>
        <w:t xml:space="preserve">4.2 Roadmap — Confidentiality Agreement (Articles 1–11)</w:t>
      </w:r>
    </w:p>
    <w:p>
      <w:pPr>
        <w:spacing w:after="80"/>
      </w:pPr>
      <w:r>
        <w:rPr>
          <w:rFonts w:ascii="Georgia" w:cs="Georgia" w:eastAsia="Georgia" w:hAnsi="Georgia"/>
          <w:i/>
          <w:iCs/>
          <w:color w:val="555555"/>
          <w:sz w:val="19"/>
          <w:szCs w:val="19"/>
        </w:rPr>
        <w:t xml:space="preserve">[Roadmap.pdf, pages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260"/>
      </w:tblGrid>
      <w:tr>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Provision</w:t>
            </w:r>
          </w:p>
        </w:tc>
        <w:tc>
          <w:tcPr>
            <w:tcW w:type="dxa" w:w="39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What It Says</w:t>
            </w:r>
          </w:p>
        </w:tc>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Rating</w:t>
            </w:r>
          </w:p>
        </w:tc>
        <w:tc>
          <w:tcPr>
            <w:tcW w:type="dxa" w:w="32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My Assessment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1, 3</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Party identification and definitions.</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Standard template language.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2</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Scope of confidential information: 11 defined categories.</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Broad scope. The real issue is whether these obligations run both ways. As drafted, they appear to bind the Local Partner only. Must be made mutual.</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4</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Six specific prohibitions on use and disclosure.</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Same concern — obligations must be reciprocal. ÖZH’s information should be protected to the same standard.</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5</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Non-compete clause: 10 years, 193 countries. Prohibits the Local Partner from any competing venture globally for a decade.</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This is extraordinary. A 10-year blanket across every country on earth would effectively prohibit you from doing real estate development anywhere, with anyone, for the duration. Likely unenforceable in Canadian courts under the common-law reasonableness test, but signing it creates litigation exposure and gives ÖZH a weapon. Must be either removed entirely or narrowed to the specific project, the NCR geography, and the term of the JV plus two years at most.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6</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Breach consequences and enforcement.</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Review remedies for proportionality. Ensure mutual.</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7–9</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Exceptions (3 carve-outs), material return, notification methods.</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Standard provisions. Ensure material return is mutual.</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10</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All disputes to be resolved by the High Court of Justice in London under LCIA (London Court of International Arbitration) rules.</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The project is in Gatineau. The entity is incorporated in Canada. Requiring London arbitration adds massive cost and removes every home-court advantage. Your counter-position: Superior Court of Quebec, or at minimum, Canadian arbitration under ADRIC rules.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11</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No expiry. Confidentiality obligations continue indefinitely.</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Perpetual confidentiality is unusual for a joint venture. Standard practice is 3–5 years after the relationship ends. I would propose a 5-year post-termination sunset.</w:t>
            </w:r>
          </w:p>
        </w:tc>
      </w:tr>
    </w:tbl>
    <w:p>
      <w:r>
        <w:br w:type="page"/>
      </w:r>
    </w:p>
    <w:p>
      <w:pPr>
        <w:pStyle w:val="Heading2"/>
        <w:spacing w:after="120" w:before="240"/>
      </w:pPr>
      <w:r>
        <w:rPr>
          <w:rFonts w:ascii="Georgia" w:cs="Georgia" w:eastAsia="Georgia" w:hAnsi="Georgia"/>
          <w:b/>
          <w:bCs/>
          <w:color w:val="0C1A2E"/>
          <w:sz w:val="24"/>
          <w:szCs w:val="24"/>
        </w:rPr>
        <w:t xml:space="preserve">4.3 Roadmap — Joint Venture Investment Agreement (Articles 1–15)</w:t>
      </w:r>
    </w:p>
    <w:p>
      <w:pPr>
        <w:spacing w:after="80"/>
      </w:pPr>
      <w:r>
        <w:rPr>
          <w:rFonts w:ascii="Georgia" w:cs="Georgia" w:eastAsia="Georgia" w:hAnsi="Georgia"/>
          <w:i/>
          <w:iCs/>
          <w:color w:val="555555"/>
          <w:sz w:val="19"/>
          <w:szCs w:val="19"/>
        </w:rPr>
        <w:t xml:space="preserve">[Roadmap.pdf, pages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260"/>
      </w:tblGrid>
      <w:tr>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Provision</w:t>
            </w:r>
          </w:p>
        </w:tc>
        <w:tc>
          <w:tcPr>
            <w:tcW w:type="dxa" w:w="39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What It Says</w:t>
            </w:r>
          </w:p>
        </w:tc>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Rating</w:t>
            </w:r>
          </w:p>
        </w:tc>
        <w:tc>
          <w:tcPr>
            <w:tcW w:type="dxa" w:w="32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My Assessment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1–3</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Parties, definitions, and 6 annexes (A–F) requiring 27 sub-documents total.</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Twenty-seven annexes is a heavy lift for a residential JV. Many of these may have been designed for ÖZH’s infrastructure or energy projects and may not apply here. Each annex should be reviewed for relevance before you commit to producing them.</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4</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Board composition of the Joint Company.</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In a 50/50 venture, you need equal board seats and mutual veto on material decisions — new debt, asset sales, contracts above a threshold, distributions. The document does not specify this. It needs to.</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5</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Consultancy fee of 1% to unnamed consultant(s).</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On a $140M project, 1% is $1.4 million. The recipient is not identified. See Section 6 for full analysis.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6–7</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Party obligations and liability.</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Must ensure obligations and liability are balanced and proportional to the 50/50 structure.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8–10</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Notices, withdrawal/termination, confidentiality.</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Standard. Termination mechanics need review for buyout pricing and exit triggers.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11</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Governing law.</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Must specify Canadian law. Cannot have the confidentiality agreement under London jurisdiction and the JV agreement under a different system. One governing law, one jurisdiction, and it should be Canadian.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12</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Profit sharing: 50/50.</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Consistent with your objective.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13–15</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Language, execution, signatures.</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Administrative. No issues.</w:t>
            </w:r>
          </w:p>
        </w:tc>
      </w:tr>
    </w:tbl>
    <w:p>
      <w:r>
        <w:br w:type="page"/>
      </w:r>
    </w:p>
    <w:p>
      <w:pPr>
        <w:pStyle w:val="Heading2"/>
        <w:spacing w:after="120" w:before="240"/>
      </w:pPr>
      <w:r>
        <w:rPr>
          <w:rFonts w:ascii="Georgia" w:cs="Georgia" w:eastAsia="Georgia" w:hAnsi="Georgia"/>
          <w:b/>
          <w:bCs/>
          <w:color w:val="0C1A2E"/>
          <w:sz w:val="24"/>
          <w:szCs w:val="24"/>
        </w:rPr>
        <w:t xml:space="preserve">4.4 Proposal 1 — Project Investment Partnership (PIP)</w:t>
      </w:r>
    </w:p>
    <w:p>
      <w:pPr>
        <w:spacing w:after="80"/>
      </w:pPr>
      <w:r>
        <w:rPr>
          <w:rFonts w:ascii="Georgia" w:cs="Georgia" w:eastAsia="Georgia" w:hAnsi="Georgia"/>
          <w:i/>
          <w:iCs/>
          <w:color w:val="555555"/>
          <w:sz w:val="19"/>
          <w:szCs w:val="19"/>
        </w:rPr>
        <w:t xml:space="preserve">[04092026_PROPOSAL -1.pdf, 5 pages. Ref: OZHIPRIVATE/07042026-01/03. Valid 10 days from April 7, 2026.]</w:t>
      </w:r>
    </w:p>
    <w:p>
      <w:pPr>
        <w:spacing w:after="100" w:line="276"/>
      </w:pPr>
      <w:r>
        <w:rPr>
          <w:rFonts w:ascii="Georgia" w:cs="Georgia" w:eastAsia="Georgia" w:hAnsi="Georgia"/>
          <w:color w:val="2A2A2A"/>
          <w:sz w:val="21"/>
          <w:szCs w:val="21"/>
        </w:rPr>
        <w:t xml:space="preserve">This is the most complex of the three proposals, and the one that requires the most attention. Despite the name — “Project Investment Partnership” — this is not a partnership. It is a </w:t>
      </w:r>
      <w:r>
        <w:rPr>
          <w:rFonts w:ascii="Georgia" w:cs="Georgia" w:eastAsia="Georgia" w:hAnsi="Georgia"/>
          <w:b/>
          <w:bCs/>
          <w:color w:val="2A2A2A"/>
          <w:sz w:val="21"/>
          <w:szCs w:val="21"/>
        </w:rPr>
        <w:t xml:space="preserve">loan</w:t>
      </w:r>
      <w:r>
        <w:rPr>
          <w:rFonts w:ascii="Georgia" w:cs="Georgia" w:eastAsia="Georgia" w:hAnsi="Georgia"/>
          <w:color w:val="2A2A2A"/>
          <w:sz w:val="21"/>
          <w:szCs w:val="21"/>
        </w:rPr>
        <w:t xml:space="preserve">. ÖZH advances €20M, charges 6.75% interest, demands repayment through the Joint Company, and secures itself with a pledge on your shares. A partner shares risk. A lender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260"/>
      </w:tblGrid>
      <w:tr>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Provision</w:t>
            </w:r>
          </w:p>
        </w:tc>
        <w:tc>
          <w:tcPr>
            <w:tcW w:type="dxa" w:w="39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What It Says</w:t>
            </w:r>
          </w:p>
        </w:tc>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Rating</w:t>
            </w:r>
          </w:p>
        </w:tc>
        <w:tc>
          <w:tcPr>
            <w:tcW w:type="dxa" w:w="32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My Assessment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Secs. 1–4</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Procedural phases: pre-proposal, negotiation, acceptance, implementation. Funding within 90 business days.</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Standard process steps.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5.1</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All repayments made exclusively through the Joint Company Account.</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This confirms the structure is debt, not equity. An equity partner takes a share of profit; a lender demands repayment of principal plus interest regardless of project performance.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5.2.1</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No bank guarantees, collateral, or mortgages from Local Partner.</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Positive — no traditional collateral demand.</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5.2.2</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Conditional hypothecation: a share pledge over the Local Partner’s company shares, corresponding to 50% of total repayment.</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They say no collateral in 5.2.1, then take a lien on your equity in 5.2.2. If the project underperforms and repayment stalls, ÖZH can enforce this pledge and acquire your shares. It is equity stripping dressed up as security.</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5.3.1</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2% of investment in stablecoin form, held in cold wallet. On €20M = ~$585,000 CAD. For “regulatory, administrative, banking fees, risk insurance, and investment-related expenses.”</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See Section 5 below. There is no reason operational expenses on a Canadian construction project need to be held in cryptocurrency.</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5.4.1</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Local Partner grants powers of attorney to individuals designated by ÖZH for company establishment and bank account opening.</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Handing POA to ÖZH’s people for bank accounts and corporate actions gives them effective control over the entity’s finances. In a 50/50 arrangement, all authorizations should be joint.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5.4.2</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ÖZH oversees all PIP company establishment.</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The corporate entity already exists. Under your preferred structure, no new company is needed. This provision assumes ÖZH controls the corporate architecture — that is not what you signed up for.</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5.5</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Dividends subject to mutual agreement and operational capacity.</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Reasonable.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Sec. II (Repayment)</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Three models, all in EUR. 5-year: total repay €1.12M per €1M. 10-year: €1.46M. 15-year: €1.93M. On €20M over 15 years: €29.24M total repayment.</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Two problems. First, 6.75% is nearly double what you would pay under CMHC. Over 15 years on €20M, you repay €29.24M — a 46% premium. Second, the debt is denominated in EUR while your revenues are in CAD. Every EUR/CAD fluctuation hits your debt service. CMHC financing eliminates both problems.</w:t>
            </w:r>
          </w:p>
        </w:tc>
      </w:tr>
    </w:tbl>
    <w:p>
      <w:r>
        <w:br w:type="page"/>
      </w:r>
    </w:p>
    <w:p>
      <w:pPr>
        <w:pStyle w:val="Heading2"/>
        <w:spacing w:after="120" w:before="240"/>
      </w:pPr>
      <w:r>
        <w:rPr>
          <w:rFonts w:ascii="Georgia" w:cs="Georgia" w:eastAsia="Georgia" w:hAnsi="Georgia"/>
          <w:b/>
          <w:bCs/>
          <w:color w:val="0C1A2E"/>
          <w:sz w:val="24"/>
          <w:szCs w:val="24"/>
        </w:rPr>
        <w:t xml:space="preserve">4.5 Proposal 2 — EPC: Engineering, Procurement and Construction (Turnkey Contractor)</w:t>
      </w:r>
    </w:p>
    <w:p>
      <w:pPr>
        <w:spacing w:after="80"/>
      </w:pPr>
      <w:r>
        <w:rPr>
          <w:rFonts w:ascii="Georgia" w:cs="Georgia" w:eastAsia="Georgia" w:hAnsi="Georgia"/>
          <w:i/>
          <w:iCs/>
          <w:color w:val="555555"/>
          <w:sz w:val="19"/>
          <w:szCs w:val="19"/>
        </w:rPr>
        <w:t xml:space="preserve">[04092026_PROPOSAL -2.pdf, 2 pages. Ref: OZH/PRIVATE/07042026-02/03.]</w:t>
      </w:r>
    </w:p>
    <w:p>
      <w:pPr>
        <w:spacing w:after="100" w:line="276"/>
      </w:pPr>
      <w:r>
        <w:rPr>
          <w:rFonts w:ascii="Georgia" w:cs="Georgia" w:eastAsia="Georgia" w:hAnsi="Georgia"/>
          <w:color w:val="2A2A2A"/>
          <w:sz w:val="21"/>
          <w:szCs w:val="21"/>
        </w:rPr>
        <w:t xml:space="preserve">The simplest of the three. ÖZH offers to build the project as a turnkey contractor. No investment, no partnership, no equity. This does not address what you are looking for, but it is worth understanding in case elements of it factor into a blended counter-proposal.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260"/>
      </w:tblGrid>
      <w:tr>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Provision</w:t>
            </w:r>
          </w:p>
        </w:tc>
        <w:tc>
          <w:tcPr>
            <w:tcW w:type="dxa" w:w="39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What It Says</w:t>
            </w:r>
          </w:p>
        </w:tc>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Rating</w:t>
            </w:r>
          </w:p>
        </w:tc>
        <w:tc>
          <w:tcPr>
            <w:tcW w:type="dxa" w:w="32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My Assessment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10–30% advance payment. ÖZH provides an advance guarantee letter.</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Even at 10%, that is $13.1M upfront on a $131M project. The guarantee letter helps, but the capital requirement is steep.</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2</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Monthly progress payments on acceptance basis.</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Standard for EPC. Consistent with the Turner &amp; Townsend model you already use.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3</w:t>
            </w:r>
          </w:p>
        </w:tc>
        <w:tc>
          <w:tcPr>
            <w:tcW w:type="dxa" w:w="39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Turnkey delivery in 30 months.</w:t>
            </w:r>
          </w:p>
        </w:tc>
        <w:tc>
          <w:tcPr>
            <w:tcW w:type="dxa" w:w="110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r>
              <w:rPr>
                <w:rFonts w:ascii="Arial" w:cs="Arial" w:eastAsia="Arial" w:hAnsi="Arial"/>
                <w:b/>
                <w:bCs/>
                <w:sz w:val="17"/>
                <w:szCs w:val="17"/>
              </w:rPr>
              <w:t xml:space="preserve">ACCEPTABLE</w:t>
            </w:r>
          </w:p>
        </w:tc>
        <w:tc>
          <w:tcPr>
            <w:tcW w:type="dxa" w:w="3260"/>
            <w:tcBorders>
              <w:top w:val="single" w:color="BBBBBB" w:sz="1"/>
              <w:left w:val="single" w:color="BBBBBB" w:sz="1"/>
              <w:bottom w:val="single" w:color="BBBBBB" w:sz="1"/>
              <w:right w:val="single" w:color="BBBBBB" w:sz="1"/>
            </w:tcBorders>
            <w:shd w:fill="D5F5E3" w:val="clear"/>
            <w:tcMar>
              <w:top w:type="dxa" w:w="60"/>
              <w:left w:type="dxa" w:w="100"/>
              <w:bottom w:type="dxa" w:w="60"/>
              <w:right w:type="dxa" w:w="100"/>
            </w:tcMar>
          </w:tcPr>
          <w:p>
            <w:pPr>
              <w:spacing w:after="30"/>
            </w:pPr>
            <w:r>
              <w:rPr>
                <w:rFonts w:ascii="Arial" w:cs="Arial" w:eastAsia="Arial" w:hAnsi="Arial"/>
                <w:sz w:val="17"/>
                <w:szCs w:val="17"/>
              </w:rPr>
              <w:t xml:space="preserve">Reasonable for a 25-story, 305-unit tower.</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4</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ÖZH as main contractor: planning, budgeting, EPC delivery, project management, QA, 2-year warranty + 2-year supervision.</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This gives ÖZH complete control of construction. You have told me you intend to use BBL, Pomerleau, or a comparable Canadian firm. If ÖZH is the contractor, your established relationships are sidelined.</w:t>
            </w:r>
          </w:p>
        </w:tc>
      </w:tr>
    </w:tbl>
    <w:p>
      <w:pPr>
        <w:spacing w:after="60"/>
      </w:pPr>
    </w:p>
    <w:p>
      <w:pPr>
        <w:pStyle w:val="Heading2"/>
        <w:spacing w:after="120" w:before="240"/>
      </w:pPr>
      <w:r>
        <w:rPr>
          <w:rFonts w:ascii="Georgia" w:cs="Georgia" w:eastAsia="Georgia" w:hAnsi="Georgia"/>
          <w:b/>
          <w:bCs/>
          <w:color w:val="0C1A2E"/>
          <w:sz w:val="24"/>
          <w:szCs w:val="24"/>
        </w:rPr>
        <w:t xml:space="preserve">4.6 Proposal 3A — EPC + Financing (Engineering, Procurement, Construction plus Financing)</w:t>
      </w:r>
    </w:p>
    <w:p>
      <w:pPr>
        <w:spacing w:after="80"/>
      </w:pPr>
      <w:r>
        <w:rPr>
          <w:rFonts w:ascii="Georgia" w:cs="Georgia" w:eastAsia="Georgia" w:hAnsi="Georgia"/>
          <w:i/>
          <w:iCs/>
          <w:color w:val="555555"/>
          <w:sz w:val="19"/>
          <w:szCs w:val="19"/>
        </w:rPr>
        <w:t xml:space="preserve">[04092026_PROPOSAL - 3A.pdf, 4 pages. Ref: OZH/PRIVATE/07042026-03A/03.]</w:t>
      </w:r>
    </w:p>
    <w:p>
      <w:pPr>
        <w:spacing w:after="100" w:line="276"/>
      </w:pPr>
      <w:r>
        <w:rPr>
          <w:rFonts w:ascii="Georgia" w:cs="Georgia" w:eastAsia="Georgia" w:hAnsi="Georgia"/>
          <w:color w:val="2A2A2A"/>
          <w:sz w:val="21"/>
          <w:szCs w:val="21"/>
        </w:rPr>
        <w:t xml:space="preserve">This one needs to be read carefully because it contains the clearest statement of ÖZH’s actual position: </w:t>
      </w:r>
      <w:r>
        <w:rPr>
          <w:rFonts w:ascii="Georgia" w:cs="Georgia" w:eastAsia="Georgia" w:hAnsi="Georgia"/>
          <w:b/>
          <w:bCs/>
          <w:color w:val="2A2A2A"/>
          <w:sz w:val="21"/>
          <w:szCs w:val="21"/>
        </w:rPr>
        <w:t xml:space="preserve">Article 2 states that ÖZH will not be an equity partner.</w:t>
      </w:r>
      <w:r>
        <w:rPr>
          <w:rFonts w:ascii="Georgia" w:cs="Georgia" w:eastAsia="Georgia" w:hAnsi="Georgia"/>
          <w:color w:val="2A2A2A"/>
          <w:sz w:val="21"/>
          <w:szCs w:val="21"/>
        </w:rPr>
        <w:t xml:space="preserve"> They build, they finance, they control disbursements — and you carry the equity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100"/>
        <w:gridCol w:w="3260"/>
      </w:tblGrid>
      <w:tr>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Provision</w:t>
            </w:r>
          </w:p>
        </w:tc>
        <w:tc>
          <w:tcPr>
            <w:tcW w:type="dxa" w:w="39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What It Says</w:t>
            </w:r>
          </w:p>
        </w:tc>
        <w:tc>
          <w:tcPr>
            <w:tcW w:type="dxa" w:w="1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Rating</w:t>
            </w:r>
          </w:p>
        </w:tc>
        <w:tc>
          <w:tcPr>
            <w:tcW w:type="dxa" w:w="32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My Assessment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1</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You must demonstrate 20–40% equity. 20% if the project amortizes within 7 years (audit required). 40% if amortization exceeds 15 years. All equity must pass verification by ÖZH’s banks.</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40% of $140M = $56M. Even 20% = $28M, which is more than your planned $20M contribution. And ÖZH’s banks get to decide whether your equity qualifies. That gives them a unilateral gate on whether the deal moves forward.</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 2</w:t>
            </w:r>
          </w:p>
        </w:tc>
        <w:tc>
          <w:tcPr>
            <w:tcW w:type="dxa" w:w="39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ÖZH “will not be involved as an equity partner.” Retains “full control and authority over project financing use and certified progress payments.”</w:t>
            </w:r>
          </w:p>
        </w:tc>
        <w:tc>
          <w:tcPr>
            <w:tcW w:type="dxa" w:w="1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CRITICAL</w:t>
            </w:r>
          </w:p>
        </w:tc>
        <w:tc>
          <w:tcPr>
            <w:tcW w:type="dxa" w:w="32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This is the key sentence in the entire package. They are telling you plainly that they are not a partner. They are a financier who controls the money while you bear the risk. The exact opposite of what you want.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Arts. 3–5</w:t>
            </w:r>
          </w:p>
        </w:tc>
        <w:tc>
          <w:tcPr>
            <w:tcW w:type="dxa" w:w="39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Turnkey delivery, monthly progress payments, ÖZH as main contractor with full planning/construction/QA role. 2-year warranty + supervision. Full infrastructure scope.</w:t>
            </w:r>
          </w:p>
        </w:tc>
        <w:tc>
          <w:tcPr>
            <w:tcW w:type="dxa" w:w="1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SIGNIFICANT</w:t>
            </w:r>
          </w:p>
        </w:tc>
        <w:tc>
          <w:tcPr>
            <w:tcW w:type="dxa" w:w="32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Same contractor-control issue as Proposal 2. And same conflict with your intent to use your own builders.</w:t>
            </w:r>
          </w:p>
        </w:tc>
      </w:tr>
    </w:tbl>
    <w:p>
      <w:r>
        <w:br w:type="page"/>
      </w:r>
    </w:p>
    <w:p>
      <w:pPr>
        <w:pStyle w:val="Heading1"/>
        <w:spacing w:after="160" w:before="300"/>
      </w:pPr>
      <w:r>
        <w:rPr>
          <w:rFonts w:ascii="Georgia" w:cs="Georgia" w:eastAsia="Georgia" w:hAnsi="Georgia"/>
          <w:b/>
          <w:bCs/>
          <w:color w:val="0C1A2E"/>
          <w:sz w:val="30"/>
          <w:szCs w:val="30"/>
        </w:rPr>
        <w:t xml:space="preserve">5. The Stablecoin Requirement</w:t>
      </w:r>
    </w:p>
    <w:p>
      <w:pPr>
        <w:spacing w:after="80"/>
      </w:pPr>
      <w:r>
        <w:rPr>
          <w:rFonts w:ascii="Georgia" w:cs="Georgia" w:eastAsia="Georgia" w:hAnsi="Georgia"/>
          <w:i/>
          <w:iCs/>
          <w:color w:val="555555"/>
          <w:sz w:val="19"/>
          <w:szCs w:val="19"/>
        </w:rPr>
        <w:t xml:space="preserve">[Sources: Roadmap.pdf, Articles 1.1–1.2 and Important Notes; Proposal 1 (PIP), Section 5.3.1]</w:t>
      </w:r>
    </w:p>
    <w:p>
      <w:pPr>
        <w:spacing w:after="100" w:line="276"/>
      </w:pPr>
      <w:r>
        <w:rPr>
          <w:rFonts w:ascii="Georgia" w:cs="Georgia" w:eastAsia="Georgia" w:hAnsi="Georgia"/>
          <w:color w:val="2A2A2A"/>
          <w:sz w:val="21"/>
          <w:szCs w:val="21"/>
        </w:rPr>
        <w:t xml:space="preserve">Two documents require you to acquire and hold cryptocurrency. The Roadmap requires you to open an exchange account, buy stablecoins, and transfer them to a cold wallet. Proposal 1 quantifies the amount: 2% of the investment, which on €20M comes to approximately $585,000 CAD.</w:t>
      </w:r>
    </w:p>
    <w:p>
      <w:pPr>
        <w:spacing w:after="100" w:line="276"/>
      </w:pPr>
      <w:r>
        <w:rPr>
          <w:rFonts w:ascii="Georgia" w:cs="Georgia" w:eastAsia="Georgia" w:hAnsi="Georgia"/>
          <w:color w:val="2A2A2A"/>
          <w:sz w:val="21"/>
          <w:szCs w:val="21"/>
        </w:rPr>
        <w:t xml:space="preserve">I want to be direct about this: in my assessment, there is no legitimate reason for a stablecoin requirement in a Canadian residential construction project backed by CMHC financing. Let me explain why.</w:t>
      </w:r>
    </w:p>
    <w:p>
      <w:pPr>
        <w:pStyle w:val="Heading3"/>
        <w:spacing w:after="100" w:before="180"/>
      </w:pPr>
      <w:r>
        <w:rPr>
          <w:rFonts w:ascii="Georgia" w:cs="Georgia" w:eastAsia="Georgia" w:hAnsi="Georgia"/>
          <w:b/>
          <w:bCs/>
          <w:color w:val="34495E"/>
          <w:sz w:val="21"/>
          <w:szCs w:val="21"/>
        </w:rPr>
        <w:t xml:space="preserve">Canadian Regulatory Exposure</w:t>
      </w:r>
    </w:p>
    <w:p>
      <w:pPr>
        <w:spacing w:after="100" w:line="276"/>
      </w:pPr>
      <w:r>
        <w:rPr>
          <w:rFonts w:ascii="Georgia" w:cs="Georgia" w:eastAsia="Georgia" w:hAnsi="Georgia"/>
          <w:color w:val="2A2A2A"/>
          <w:sz w:val="21"/>
          <w:szCs w:val="21"/>
        </w:rPr>
        <w:t xml:space="preserve">The Canadian Securities Administrators treat stablecoins as securities or derivatives in most commercial contexts. A $585,000 stablecoin purchase as a condition of a business transaction may trigger registration and reporting requirements. FINTRAC — the federal financial intelligence unit — requires mandatory reporting of all virtual currency transactions. And from a tax perspective, CRA treats crypto as a commodity: acquiring, holding, and disposing of it creates taxable events that add cost and complexity for no apparent benefit.</w:t>
      </w:r>
    </w:p>
    <w:p>
      <w:pPr>
        <w:pStyle w:val="Heading3"/>
        <w:spacing w:after="100" w:before="180"/>
      </w:pPr>
      <w:r>
        <w:rPr>
          <w:rFonts w:ascii="Georgia" w:cs="Georgia" w:eastAsia="Georgia" w:hAnsi="Georgia"/>
          <w:b/>
          <w:bCs/>
          <w:color w:val="34495E"/>
          <w:sz w:val="21"/>
          <w:szCs w:val="21"/>
        </w:rPr>
        <w:t xml:space="preserve">Practical Problems</w:t>
      </w:r>
    </w:p>
    <w:p>
      <w:pPr>
        <w:spacing w:after="100" w:line="276"/>
      </w:pPr>
      <w:r>
        <w:rPr>
          <w:rFonts w:ascii="Georgia" w:cs="Georgia" w:eastAsia="Georgia" w:hAnsi="Georgia"/>
          <w:color w:val="2A2A2A"/>
          <w:sz w:val="21"/>
          <w:szCs w:val="21"/>
        </w:rPr>
        <w:t xml:space="preserve">The stated purpose of the deposit is “regulatory, administrative, banking fees, risk insurance, and investment-related expenses.” These are normal operational costs that every Canadian developer pays in Canadian dollars through standard banking channels. The question is straightforward: why would these expenses need to be held in stablecoin form? The ÖZH documents do not answer that question.</w:t>
      </w:r>
    </w:p>
    <w:p>
      <w:pPr>
        <w:spacing w:after="100" w:line="276"/>
      </w:pPr>
      <w:r>
        <w:rPr>
          <w:rFonts w:ascii="Georgia" w:cs="Georgia" w:eastAsia="Georgia" w:hAnsi="Georgia"/>
          <w:color w:val="2A2A2A"/>
          <w:sz w:val="21"/>
          <w:szCs w:val="21"/>
        </w:rPr>
        <w:t xml:space="preserve">What makes it worse is the 90-day hold period combined with ÖZH’s unilateral termination right. You lock up $585,000 in crypto, and they reserve the right to walk away at any time during those 90 days. That is a one-sided arrangement.</w:t>
      </w:r>
    </w:p>
    <w:p>
      <w:pPr>
        <w:pStyle w:val="Heading3"/>
        <w:spacing w:after="100" w:before="180"/>
      </w:pPr>
      <w:r>
        <w:rPr>
          <w:rFonts w:ascii="Georgia" w:cs="Georgia" w:eastAsia="Georgia" w:hAnsi="Georgia"/>
          <w:b/>
          <w:bCs/>
          <w:color w:val="34495E"/>
          <w:sz w:val="21"/>
          <w:szCs w:val="21"/>
        </w:rPr>
        <w:t xml:space="preserve">CMHC Implications</w:t>
      </w:r>
    </w:p>
    <w:p>
      <w:pPr>
        <w:spacing w:after="100" w:line="276"/>
      </w:pPr>
      <w:r>
        <w:rPr>
          <w:rFonts w:ascii="Georgia" w:cs="Georgia" w:eastAsia="Georgia" w:hAnsi="Georgia"/>
          <w:color w:val="2A2A2A"/>
          <w:sz w:val="21"/>
          <w:szCs w:val="21"/>
        </w:rPr>
        <w:t xml:space="preserve">CMHC-backed loans require full transparency on all sources and uses of funds. Introducing a cryptocurrency component into the capital structure would, at minimum, require disclosure and explanation — and could complicate or delay approval for a loan you are otherwise well-positioned to receive.</w:t>
      </w:r>
    </w:p>
    <w:p>
      <w:pPr>
        <w:pStyle w:val="Heading3"/>
        <w:spacing w:after="100" w:before="180"/>
      </w:pPr>
      <w:r>
        <w:rPr>
          <w:rFonts w:ascii="Georgia" w:cs="Georgia" w:eastAsia="Georgia" w:hAnsi="Georgia"/>
          <w:b/>
          <w:bCs/>
          <w:color w:val="34495E"/>
          <w:sz w:val="21"/>
          <w:szCs w:val="21"/>
        </w:rPr>
        <w:t xml:space="preserve">Recommendation</w:t>
      </w:r>
    </w:p>
    <w:p>
      <w:pPr>
        <w:spacing w:after="100" w:line="276"/>
      </w:pPr>
      <w:r>
        <w:rPr>
          <w:rFonts w:ascii="Georgia" w:cs="Georgia" w:eastAsia="Georgia" w:hAnsi="Georgia"/>
          <w:color w:val="2A2A2A"/>
          <w:sz w:val="21"/>
          <w:szCs w:val="21"/>
        </w:rPr>
        <w:t xml:space="preserve"/>
      </w:r>
      <w:r>
        <w:rPr>
          <w:rFonts w:ascii="Georgia" w:cs="Georgia" w:eastAsia="Georgia" w:hAnsi="Georgia"/>
          <w:b/>
          <w:bCs/>
          <w:color w:val="2A2A2A"/>
          <w:sz w:val="21"/>
          <w:szCs w:val="21"/>
        </w:rPr>
        <w:t xml:space="preserve">Reject the stablecoin requirement entirely.</w:t>
      </w:r>
      <w:r>
        <w:rPr>
          <w:rFonts w:ascii="Georgia" w:cs="Georgia" w:eastAsia="Georgia" w:hAnsi="Georgia"/>
          <w:color w:val="2A2A2A"/>
          <w:sz w:val="21"/>
          <w:szCs w:val="21"/>
        </w:rPr>
        <w:t xml:space="preserve"> If ÖZH wants a good-faith deposit or escrow for transaction expenses, it should be held in Canadian dollars in a Canadian trust account with joint signatory authority. That is how it works here.</w:t>
      </w:r>
    </w:p>
    <w:p>
      <w:r>
        <w:br w:type="page"/>
      </w:r>
    </w:p>
    <w:p>
      <w:pPr>
        <w:pStyle w:val="Heading1"/>
        <w:spacing w:after="160" w:before="300"/>
      </w:pPr>
      <w:r>
        <w:rPr>
          <w:rFonts w:ascii="Georgia" w:cs="Georgia" w:eastAsia="Georgia" w:hAnsi="Georgia"/>
          <w:b/>
          <w:bCs/>
          <w:color w:val="0C1A2E"/>
          <w:sz w:val="30"/>
          <w:szCs w:val="30"/>
        </w:rPr>
        <w:t xml:space="preserve">6. The 1% Consultant Fee</w:t>
      </w:r>
    </w:p>
    <w:p>
      <w:pPr>
        <w:spacing w:after="80"/>
      </w:pPr>
      <w:r>
        <w:rPr>
          <w:rFonts w:ascii="Georgia" w:cs="Georgia" w:eastAsia="Georgia" w:hAnsi="Georgia"/>
          <w:i/>
          <w:iCs/>
          <w:color w:val="555555"/>
          <w:sz w:val="19"/>
          <w:szCs w:val="19"/>
        </w:rPr>
        <w:t xml:space="preserve">[Source: Roadmap.pdf, JV Investment Agreement, Article 5]</w:t>
      </w:r>
    </w:p>
    <w:p>
      <w:pPr>
        <w:spacing w:after="100" w:line="276"/>
      </w:pPr>
      <w:r>
        <w:rPr>
          <w:rFonts w:ascii="Georgia" w:cs="Georgia" w:eastAsia="Georgia" w:hAnsi="Georgia"/>
          <w:color w:val="2A2A2A"/>
          <w:sz w:val="21"/>
          <w:szCs w:val="21"/>
        </w:rPr>
        <w:t xml:space="preserve">Article 5 provides for a consultancy fee of 1%, payable to consultant(s) who are not named in the document. On a $140M project, that is </w:t>
      </w:r>
      <w:r>
        <w:rPr>
          <w:rFonts w:ascii="Georgia" w:cs="Georgia" w:eastAsia="Georgia" w:hAnsi="Georgia"/>
          <w:b/>
          <w:bCs/>
          <w:color w:val="2A2A2A"/>
          <w:sz w:val="21"/>
          <w:szCs w:val="21"/>
        </w:rPr>
        <w:t xml:space="preserve">$1.4 million</w:t>
      </w:r>
      <w:r>
        <w:rPr>
          <w:rFonts w:ascii="Georgia" w:cs="Georgia" w:eastAsia="Georgia" w:hAnsi="Georgia"/>
          <w:color w:val="2A2A2A"/>
          <w:sz w:val="21"/>
          <w:szCs w:val="21"/>
        </w:rPr>
        <w:t xml:space="preserve">.</w:t>
      </w:r>
    </w:p>
    <w:p>
      <w:pPr>
        <w:spacing w:after="100" w:line="276"/>
      </w:pPr>
      <w:r>
        <w:rPr>
          <w:rFonts w:ascii="Georgia" w:cs="Georgia" w:eastAsia="Georgia" w:hAnsi="Georgia"/>
          <w:color w:val="2A2A2A"/>
          <w:sz w:val="21"/>
          <w:szCs w:val="21"/>
        </w:rPr>
        <w:t xml:space="preserve">Before this provision can be evaluated, four questions need answers:</w:t>
      </w:r>
    </w:p>
    <w:p>
      <w:pPr>
        <w:spacing w:after="100" w:line="276"/>
      </w:pPr>
      <w:r>
        <w:rPr>
          <w:rFonts w:ascii="Georgia" w:cs="Georgia" w:eastAsia="Georgia" w:hAnsi="Georgia"/>
          <w:color w:val="2A2A2A"/>
          <w:sz w:val="21"/>
          <w:szCs w:val="21"/>
        </w:rPr>
        <w:t xml:space="preserve">First, who receives this fee? The document does not say. It could be Reza Pirzadeh, who introduced the parties. It could be another ÖZH representative. It could be a third party entirely. You need disclosure.</w:t>
      </w:r>
    </w:p>
    <w:p>
      <w:pPr>
        <w:spacing w:after="100" w:line="276"/>
      </w:pPr>
      <w:r>
        <w:rPr>
          <w:rFonts w:ascii="Georgia" w:cs="Georgia" w:eastAsia="Georgia" w:hAnsi="Georgia"/>
          <w:color w:val="2A2A2A"/>
          <w:sz w:val="21"/>
          <w:szCs w:val="21"/>
        </w:rPr>
        <w:t xml:space="preserve">Second, what services justify $1.4M? If this is an introduction fee, it is high. In Canadian commercial real estate, finder’s fees typically run 0.25–0.50% on transactions of this size, and they are contingent on closing.</w:t>
      </w:r>
    </w:p>
    <w:p>
      <w:pPr>
        <w:spacing w:after="100" w:line="276"/>
      </w:pPr>
      <w:r>
        <w:rPr>
          <w:rFonts w:ascii="Georgia" w:cs="Georgia" w:eastAsia="Georgia" w:hAnsi="Georgia"/>
          <w:color w:val="2A2A2A"/>
          <w:sz w:val="21"/>
          <w:szCs w:val="21"/>
        </w:rPr>
        <w:t xml:space="preserve">Third, who pays? Is this a JV expense (shared 50/50) or charged solely to you? The document is ambiguous.</w:t>
      </w:r>
    </w:p>
    <w:p>
      <w:pPr>
        <w:spacing w:after="100" w:line="276"/>
      </w:pPr>
      <w:r>
        <w:rPr>
          <w:rFonts w:ascii="Georgia" w:cs="Georgia" w:eastAsia="Georgia" w:hAnsi="Georgia"/>
          <w:color w:val="2A2A2A"/>
          <w:sz w:val="21"/>
          <w:szCs w:val="21"/>
        </w:rPr>
        <w:t xml:space="preserve">Fourth, is this in addition to whatever Reza Pirzadeh expects for making the introduction? If there are multiple intermediary claims, the total cost of facilitation could exceed 2%.</w:t>
      </w:r>
    </w:p>
    <w:p>
      <w:pPr>
        <w:spacing w:after="100" w:line="276"/>
      </w:pPr>
      <w:r>
        <w:rPr>
          <w:rFonts w:ascii="Georgia" w:cs="Georgia" w:eastAsia="Georgia" w:hAnsi="Georgia"/>
          <w:color w:val="2A2A2A"/>
          <w:sz w:val="21"/>
          <w:szCs w:val="21"/>
        </w:rPr>
        <w:t xml:space="preserve"/>
      </w:r>
      <w:r>
        <w:rPr>
          <w:rFonts w:ascii="Georgia" w:cs="Georgia" w:eastAsia="Georgia" w:hAnsi="Georgia"/>
          <w:b/>
          <w:bCs/>
          <w:color w:val="2A2A2A"/>
          <w:sz w:val="21"/>
          <w:szCs w:val="21"/>
        </w:rPr>
        <w:t xml:space="preserve">My recommendation:</w:t>
      </w:r>
      <w:r>
        <w:rPr>
          <w:rFonts w:ascii="Georgia" w:cs="Georgia" w:eastAsia="Georgia" w:hAnsi="Georgia"/>
          <w:color w:val="2A2A2A"/>
          <w:sz w:val="21"/>
          <w:szCs w:val="21"/>
        </w:rPr>
        <w:t xml:space="preserve"> require full disclosure of the recipient and the services being provided. Negotiate the fee down to 0.25–0.50%, make it contingent on a successful closing, and ensure it is treated as a shared JV expense.</w:t>
      </w:r>
    </w:p>
    <w:p>
      <w:r>
        <w:br w:type="page"/>
      </w:r>
    </w:p>
    <w:p>
      <w:pPr>
        <w:pStyle w:val="Heading1"/>
        <w:spacing w:after="160" w:before="300"/>
      </w:pPr>
      <w:r>
        <w:rPr>
          <w:rFonts w:ascii="Georgia" w:cs="Georgia" w:eastAsia="Georgia" w:hAnsi="Georgia"/>
          <w:b/>
          <w:bCs/>
          <w:color w:val="0C1A2E"/>
          <w:sz w:val="30"/>
          <w:szCs w:val="30"/>
        </w:rPr>
        <w:t xml:space="preserve">7. What You Want vs. What They Offered</w:t>
      </w:r>
    </w:p>
    <w:p>
      <w:pPr>
        <w:spacing w:after="80"/>
      </w:pPr>
      <w:r>
        <w:rPr>
          <w:rFonts w:ascii="Georgia" w:cs="Georgia" w:eastAsia="Georgia" w:hAnsi="Georgia"/>
          <w:i/>
          <w:iCs/>
          <w:color w:val="555555"/>
          <w:sz w:val="19"/>
          <w:szCs w:val="19"/>
        </w:rPr>
        <w:t xml:space="preserve">[Your preferences: meeting of April 9, 2026. ÖZH proposals: Documents 5–8.]</w:t>
      </w:r>
    </w:p>
    <w:p>
      <w:pPr>
        <w:spacing w:after="100" w:line="276"/>
      </w:pPr>
      <w:r>
        <w:rPr>
          <w:rFonts w:ascii="Georgia" w:cs="Georgia" w:eastAsia="Georgia" w:hAnsi="Georgia"/>
          <w:color w:val="2A2A2A"/>
          <w:sz w:val="21"/>
          <w:szCs w:val="21"/>
        </w:rPr>
        <w:t xml:space="preserve">The table below lays out the gap between what you are looking for and what ÖZH has proposed. This is the core of the negotiation. For reference: </w:t>
      </w:r>
      <w:r>
        <w:rPr>
          <w:rFonts w:ascii="Georgia" w:cs="Georgia" w:eastAsia="Georgia" w:hAnsi="Georgia"/>
          <w:b/>
          <w:bCs/>
          <w:color w:val="2A2A2A"/>
          <w:sz w:val="21"/>
          <w:szCs w:val="21"/>
        </w:rPr>
        <w:t xml:space="preserve">PIP</w:t>
      </w:r>
      <w:r>
        <w:rPr>
          <w:rFonts w:ascii="Georgia" w:cs="Georgia" w:eastAsia="Georgia" w:hAnsi="Georgia"/>
          <w:color w:val="2A2A2A"/>
          <w:sz w:val="21"/>
          <w:szCs w:val="21"/>
        </w:rPr>
        <w:t xml:space="preserve"> (Project Investment Partnership) is a structured loan disguised as a partnership; </w:t>
      </w:r>
      <w:r>
        <w:rPr>
          <w:rFonts w:ascii="Georgia" w:cs="Georgia" w:eastAsia="Georgia" w:hAnsi="Georgia"/>
          <w:b/>
          <w:bCs/>
          <w:color w:val="2A2A2A"/>
          <w:sz w:val="21"/>
          <w:szCs w:val="21"/>
        </w:rPr>
        <w:t xml:space="preserve">EPC</w:t>
      </w:r>
      <w:r>
        <w:rPr>
          <w:rFonts w:ascii="Georgia" w:cs="Georgia" w:eastAsia="Georgia" w:hAnsi="Georgia"/>
          <w:color w:val="2A2A2A"/>
          <w:sz w:val="21"/>
          <w:szCs w:val="21"/>
        </w:rPr>
        <w:t xml:space="preserve"> (Engineering, Procurement and Construction) is a turnkey contractor arrangement; </w:t>
      </w:r>
      <w:r>
        <w:rPr>
          <w:rFonts w:ascii="Georgia" w:cs="Georgia" w:eastAsia="Georgia" w:hAnsi="Georgia"/>
          <w:b/>
          <w:bCs/>
          <w:color w:val="2A2A2A"/>
          <w:sz w:val="21"/>
          <w:szCs w:val="21"/>
        </w:rPr>
        <w:t xml:space="preserve">EPC+F</w:t>
      </w:r>
      <w:r>
        <w:rPr>
          <w:rFonts w:ascii="Georgia" w:cs="Georgia" w:eastAsia="Georgia" w:hAnsi="Georgia"/>
          <w:color w:val="2A2A2A"/>
          <w:sz w:val="21"/>
          <w:szCs w:val="21"/>
        </w:rPr>
        <w:t xml:space="preserve"> (EPC plus Financing) combines the contractor role with ÖZH-arranged project financing.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24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Your Position</w:t>
            </w:r>
          </w:p>
        </w:tc>
        <w:tc>
          <w:tcPr>
            <w:tcW w:type="dxa" w:w="24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ÖZH Position</w:t>
            </w:r>
          </w:p>
        </w:tc>
        <w:tc>
          <w:tcPr>
            <w:tcW w:type="dxa" w:w="27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Gap</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Relationship</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50/50 equity partner</w:t>
            </w:r>
          </w:p>
        </w:tc>
        <w:tc>
          <w:tcPr>
            <w:tcW w:type="dxa" w:w="24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PIP: Lender</w:t>
            </w:r>
          </w:p>
          <w:p>
            <w:pPr>
              <w:spacing w:after="30"/>
            </w:pPr>
            <w:r>
              <w:rPr>
                <w:rFonts w:ascii="Arial" w:cs="Arial" w:eastAsia="Arial" w:hAnsi="Arial"/>
                <w:sz w:val="17"/>
                <w:szCs w:val="17"/>
              </w:rPr>
              <w:t xml:space="preserve">EPC: Contractor</w:t>
            </w:r>
          </w:p>
          <w:p>
            <w:pPr>
              <w:spacing w:after="30"/>
            </w:pPr>
            <w:r>
              <w:rPr>
                <w:rFonts w:ascii="Arial" w:cs="Arial" w:eastAsia="Arial" w:hAnsi="Arial"/>
                <w:sz w:val="17"/>
                <w:szCs w:val="17"/>
              </w:rPr>
              <w:t xml:space="preserve">EPC+F: Financier</w:t>
            </w:r>
          </w:p>
          <w:p>
            <w:pPr>
              <w:spacing w:after="30"/>
            </w:pPr>
            <w:r>
              <w:rPr>
                <w:rFonts w:ascii="Arial" w:cs="Arial" w:eastAsia="Arial" w:hAnsi="Arial"/>
                <w:sz w:val="17"/>
                <w:szCs w:val="17"/>
              </w:rPr>
              <w:t xml:space="preserve">(Art. 2, Proposal 3A: explicitly not equity)</w:t>
            </w:r>
          </w:p>
        </w:tc>
        <w:tc>
          <w:tcPr>
            <w:tcW w:type="dxa" w:w="27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Fundamental mismatch. No proposal offers equity partnership.</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Phase 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Share sale at $145M valuation</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Not addressed in any document.</w:t>
            </w:r>
          </w:p>
        </w:tc>
        <w:tc>
          <w:tcPr>
            <w:tcW w:type="dxa" w:w="27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Your preferred entry point is completely absent.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Financing</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CMHC at ~3.55–4.00%</w:t>
            </w:r>
          </w:p>
        </w:tc>
        <w:tc>
          <w:tcPr>
            <w:tcW w:type="dxa" w:w="24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PIP: 6.75% in EUR</w:t>
            </w:r>
          </w:p>
          <w:p>
            <w:pPr>
              <w:spacing w:after="30"/>
            </w:pPr>
            <w:r>
              <w:rPr>
                <w:rFonts w:ascii="Arial" w:cs="Arial" w:eastAsia="Arial" w:hAnsi="Arial"/>
                <w:sz w:val="17"/>
                <w:szCs w:val="17"/>
              </w:rPr>
              <w:t xml:space="preserve">EPC+F: ÖZH-arranged</w:t>
            </w:r>
          </w:p>
        </w:tc>
        <w:tc>
          <w:tcPr>
            <w:tcW w:type="dxa" w:w="27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CMHC rate is nearly half of ÖZH’s. No economic rationale to use their financing.</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Construction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Your contractors: BBL, Pomerleau, third candidate. Turnkey. T&amp;T verification.</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EPC &amp; EPC+F: ÖZH as main contractor.</w:t>
            </w:r>
          </w:p>
        </w:tc>
        <w:tc>
          <w:tcPr>
            <w:tcW w:type="dxa" w:w="27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You lose contractor selection and competitive bidding.</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Governance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Equal board, mutual veto</w:t>
            </w:r>
          </w:p>
        </w:tc>
        <w:tc>
          <w:tcPr>
            <w:tcW w:type="dxa" w:w="24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PIP: POA to ÖZH nominees.</w:t>
            </w:r>
          </w:p>
          <w:p>
            <w:pPr>
              <w:spacing w:after="30"/>
            </w:pPr>
            <w:r>
              <w:rPr>
                <w:rFonts w:ascii="Arial" w:cs="Arial" w:eastAsia="Arial" w:hAnsi="Arial"/>
                <w:sz w:val="17"/>
                <w:szCs w:val="17"/>
              </w:rPr>
              <w:t xml:space="preserve">EPC+F: ÖZH full control.</w:t>
            </w:r>
          </w:p>
        </w:tc>
        <w:tc>
          <w:tcPr>
            <w:tcW w:type="dxa" w:w="27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Control skewed to ÖZH across all proposals.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Currency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CAD</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EUR (EURIBOR-based)</w:t>
            </w:r>
          </w:p>
        </w:tc>
        <w:tc>
          <w:tcPr>
            <w:tcW w:type="dxa" w:w="27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Currency mismatch on a CAD-revenue project.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Jurisdiction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Canadian courts</w:t>
            </w:r>
          </w:p>
        </w:tc>
        <w:tc>
          <w:tcPr>
            <w:tcW w:type="dxa" w:w="24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London (LCIA)</w:t>
            </w:r>
          </w:p>
        </w:tc>
        <w:tc>
          <w:tcPr>
            <w:tcW w:type="dxa" w:w="27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London arbitration for a Gatineau project.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7"/>
                <w:szCs w:val="17"/>
              </w:rPr>
              <w:t xml:space="preserve">Crypto</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30"/>
            </w:pPr>
            <w:r>
              <w:rPr>
                <w:rFonts w:ascii="Arial" w:cs="Arial" w:eastAsia="Arial" w:hAnsi="Arial"/>
                <w:sz w:val="17"/>
                <w:szCs w:val="17"/>
              </w:rPr>
              <w:t xml:space="preserve">No.</w:t>
            </w:r>
          </w:p>
        </w:tc>
        <w:tc>
          <w:tcPr>
            <w:tcW w:type="dxa" w:w="24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2% in stablecoin cold wallet.</w:t>
            </w:r>
          </w:p>
        </w:tc>
        <w:tc>
          <w:tcPr>
            <w:tcW w:type="dxa" w:w="27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Non-starter.</w:t>
            </w:r>
          </w:p>
        </w:tc>
      </w:tr>
    </w:tbl>
    <w:p>
      <w:r>
        <w:br w:type="page"/>
      </w:r>
    </w:p>
    <w:p>
      <w:pPr>
        <w:pStyle w:val="Heading1"/>
        <w:spacing w:after="160" w:before="300"/>
      </w:pPr>
      <w:r>
        <w:rPr>
          <w:rFonts w:ascii="Georgia" w:cs="Georgia" w:eastAsia="Georgia" w:hAnsi="Georgia"/>
          <w:b/>
          <w:bCs/>
          <w:color w:val="0C1A2E"/>
          <w:sz w:val="30"/>
          <w:szCs w:val="30"/>
        </w:rPr>
        <w:t xml:space="preserve">8. Project Strengths</w:t>
      </w:r>
    </w:p>
    <w:p>
      <w:pPr>
        <w:spacing w:after="80"/>
      </w:pPr>
      <w:r>
        <w:rPr>
          <w:rFonts w:ascii="Georgia" w:cs="Georgia" w:eastAsia="Georgia" w:hAnsi="Georgia"/>
          <w:i/>
          <w:iCs/>
          <w:color w:val="555555"/>
          <w:sz w:val="19"/>
          <w:szCs w:val="19"/>
        </w:rPr>
        <w:t xml:space="preserve">[Sources as noted. These points should feature prominently in any counter-proposal to demonstrate the strength of your negotiating position.]</w:t>
      </w:r>
    </w:p>
    <w:p>
      <w:pPr>
        <w:pStyle w:val="Heading3"/>
        <w:spacing w:after="100" w:before="180"/>
      </w:pPr>
      <w:r>
        <w:rPr>
          <w:rFonts w:ascii="Georgia" w:cs="Georgia" w:eastAsia="Georgia" w:hAnsi="Georgia"/>
          <w:b/>
          <w:bCs/>
          <w:color w:val="34495E"/>
          <w:sz w:val="21"/>
          <w:szCs w:val="21"/>
        </w:rPr>
        <w:t xml:space="preserve">Proven Performer</w:t>
      </w:r>
    </w:p>
    <w:p>
      <w:pPr>
        <w:spacing w:after="100" w:line="276"/>
      </w:pPr>
      <w:r>
        <w:rPr>
          <w:rFonts w:ascii="Georgia" w:cs="Georgia" w:eastAsia="Georgia" w:hAnsi="Georgia"/>
          <w:color w:val="2A2A2A"/>
          <w:sz w:val="21"/>
          <w:szCs w:val="21"/>
        </w:rPr>
        <w:t xml:space="preserve">Phase 1 is at 97% occupancy with an $86M CMHC loan in good standing. This is the single strongest argument for Phase 2: same market, same team, same lender, proven delivery. [Meeting, April 9]</w:t>
      </w:r>
    </w:p>
    <w:p>
      <w:pPr>
        <w:pStyle w:val="Heading3"/>
        <w:spacing w:after="100" w:before="180"/>
      </w:pPr>
      <w:r>
        <w:rPr>
          <w:rFonts w:ascii="Georgia" w:cs="Georgia" w:eastAsia="Georgia" w:hAnsi="Georgia"/>
          <w:b/>
          <w:bCs/>
          <w:color w:val="34495E"/>
          <w:sz w:val="21"/>
          <w:szCs w:val="21"/>
        </w:rPr>
        <w:t xml:space="preserve">Room to Run on Rents</w:t>
      </w:r>
    </w:p>
    <w:p>
      <w:pPr>
        <w:spacing w:after="100" w:line="276"/>
      </w:pPr>
      <w:r>
        <w:rPr>
          <w:rFonts w:ascii="Georgia" w:cs="Georgia" w:eastAsia="Georgia" w:hAnsi="Georgia"/>
          <w:color w:val="2A2A2A"/>
          <w:sz w:val="21"/>
          <w:szCs w:val="21"/>
        </w:rPr>
        <w:t xml:space="preserve">Your target rents are roughly $1,000/month below comparable buildings in the immediate area. Two-bedrooms at $2,800 versus $3,500–3,600 across the street. That gap is not a weakness — it is a deliberate competitive moat that accelerates lease-up and gives you escalation upside for years. [Meeting, April 9]</w:t>
      </w:r>
    </w:p>
    <w:p>
      <w:pPr>
        <w:pStyle w:val="Heading3"/>
        <w:spacing w:after="100" w:before="180"/>
      </w:pPr>
      <w:r>
        <w:rPr>
          <w:rFonts w:ascii="Georgia" w:cs="Georgia" w:eastAsia="Georgia" w:hAnsi="Georgia"/>
          <w:b/>
          <w:bCs/>
          <w:color w:val="34495E"/>
          <w:sz w:val="21"/>
          <w:szCs w:val="21"/>
        </w:rPr>
        <w:t xml:space="preserve">CMHC Advantage</w:t>
      </w:r>
    </w:p>
    <w:p>
      <w:pPr>
        <w:spacing w:after="100" w:line="276"/>
      </w:pPr>
      <w:r>
        <w:rPr>
          <w:rFonts w:ascii="Georgia" w:cs="Georgia" w:eastAsia="Georgia" w:hAnsi="Georgia"/>
          <w:color w:val="2A2A2A"/>
          <w:sz w:val="21"/>
          <w:szCs w:val="21"/>
        </w:rPr>
        <w:t xml:space="preserve">CMHC Select financing runs about 1% below market with extended amortization. Four banks are already competing for the Phase 2 mandate. Given your track record on Phase 1, approval is a reasonable expectation — not a gamble. This makes ÖZH’s 6.75% EUR-denominated offer economically irrational. [Meeting, April 9; Feasibility Study; Financial Summary]</w:t>
      </w:r>
    </w:p>
    <w:p>
      <w:pPr>
        <w:pStyle w:val="Heading3"/>
        <w:spacing w:after="100" w:before="180"/>
      </w:pPr>
      <w:r>
        <w:rPr>
          <w:rFonts w:ascii="Georgia" w:cs="Georgia" w:eastAsia="Georgia" w:hAnsi="Georgia"/>
          <w:b/>
          <w:bCs/>
          <w:color w:val="34495E"/>
          <w:sz w:val="21"/>
          <w:szCs w:val="21"/>
        </w:rPr>
        <w:t xml:space="preserve">Location</w:t>
      </w:r>
    </w:p>
    <w:p>
      <w:pPr>
        <w:spacing w:after="100" w:line="276"/>
      </w:pPr>
      <w:r>
        <w:rPr>
          <w:rFonts w:ascii="Georgia" w:cs="Georgia" w:eastAsia="Georgia" w:hAnsi="Georgia"/>
          <w:color w:val="2A2A2A"/>
          <w:sz w:val="21"/>
          <w:szCs w:val="21"/>
        </w:rPr>
        <w:t xml:space="preserve">National Capital Region, anchored by federal government employment. Structural housing shortage. Limited competing supply nearby. Immediate proximity to shopping, the sports complex, and urban amenities. [Meeting, April 9; Feasibility Study]</w:t>
      </w:r>
    </w:p>
    <w:p>
      <w:pPr>
        <w:pStyle w:val="Heading3"/>
        <w:spacing w:after="100" w:before="180"/>
      </w:pPr>
      <w:r>
        <w:rPr>
          <w:rFonts w:ascii="Georgia" w:cs="Georgia" w:eastAsia="Georgia" w:hAnsi="Georgia"/>
          <w:b/>
          <w:bCs/>
          <w:color w:val="34495E"/>
          <w:sz w:val="21"/>
          <w:szCs w:val="21"/>
        </w:rPr>
        <w:t xml:space="preserve">Lessons from Phase 1</w:t>
      </w:r>
    </w:p>
    <w:p>
      <w:pPr>
        <w:spacing w:after="100" w:line="276"/>
      </w:pPr>
      <w:r>
        <w:rPr>
          <w:rFonts w:ascii="Georgia" w:cs="Georgia" w:eastAsia="Georgia" w:hAnsi="Georgia"/>
          <w:color w:val="2A2A2A"/>
          <w:sz w:val="21"/>
          <w:szCs w:val="21"/>
        </w:rPr>
        <w:t xml:space="preserve">Phase 2 is designed to avoid the mistakes of Phase 1: minimal commercial space, no excess architectural features that drive up cost without proportional revenue, and a spa that creates tenant retention and revenue diversification. You have learned from what went wrong. That matters to sophisticated investors. [Meeting, April 9]</w:t>
      </w:r>
    </w:p>
    <w:p>
      <w:pPr>
        <w:pStyle w:val="Heading3"/>
        <w:spacing w:after="100" w:before="180"/>
      </w:pPr>
      <w:r>
        <w:rPr>
          <w:rFonts w:ascii="Georgia" w:cs="Georgia" w:eastAsia="Georgia" w:hAnsi="Georgia"/>
          <w:b/>
          <w:bCs/>
          <w:color w:val="34495E"/>
          <w:sz w:val="21"/>
          <w:szCs w:val="21"/>
        </w:rPr>
        <w:t xml:space="preserve">Land and Fallback Position</w:t>
      </w:r>
    </w:p>
    <w:p>
      <w:pPr>
        <w:spacing w:after="100" w:line="276"/>
      </w:pPr>
      <w:r>
        <w:rPr>
          <w:rFonts w:ascii="Georgia" w:cs="Georgia" w:eastAsia="Georgia" w:hAnsi="Georgia"/>
          <w:color w:val="2A2A2A"/>
          <w:sz w:val="21"/>
          <w:szCs w:val="21"/>
        </w:rPr>
        <w:t xml:space="preserve">The $15M land is appraised and clear. Two deals in advanced negotiation could eliminate your mortgage entirely, at which point you may not need external equity at all. That is leverage. ÖZH should understand that you are negotiating from choice, not necessity. [Meeting, April 9]</w:t>
      </w:r>
    </w:p>
    <w:p>
      <w:r>
        <w:br w:type="page"/>
      </w:r>
    </w:p>
    <w:p>
      <w:pPr>
        <w:pStyle w:val="Heading1"/>
        <w:spacing w:after="160" w:before="300"/>
      </w:pPr>
      <w:r>
        <w:rPr>
          <w:rFonts w:ascii="Georgia" w:cs="Georgia" w:eastAsia="Georgia" w:hAnsi="Georgia"/>
          <w:b/>
          <w:bCs/>
          <w:color w:val="0C1A2E"/>
          <w:sz w:val="30"/>
          <w:szCs w:val="30"/>
        </w:rPr>
        <w:t xml:space="preserve">9. Risk Assessment</w:t>
      </w:r>
    </w:p>
    <w:p>
      <w:pPr>
        <w:spacing w:after="100" w:line="276"/>
      </w:pPr>
      <w:r>
        <w:rPr>
          <w:rFonts w:ascii="Georgia" w:cs="Georgia" w:eastAsia="Georgia" w:hAnsi="Georgia"/>
          <w:color w:val="2A2A2A"/>
          <w:sz w:val="21"/>
          <w:szCs w:val="21"/>
        </w:rPr>
        <w:t xml:space="preserve">Every risk below is tied to a specific document and provision. I have separated them into two tiers.</w:t>
      </w:r>
    </w:p>
    <w:p>
      <w:pPr>
        <w:pStyle w:val="Heading2"/>
        <w:spacing w:after="120" w:before="240"/>
      </w:pPr>
      <w:r>
        <w:rPr>
          <w:rFonts w:ascii="Georgia" w:cs="Georgia" w:eastAsia="Georgia" w:hAnsi="Georgia"/>
          <w:b/>
          <w:bCs/>
          <w:color w:val="0C1A2E"/>
          <w:sz w:val="24"/>
          <w:szCs w:val="24"/>
        </w:rPr>
        <w:t xml:space="preserve">9.1 Critical Risks</w:t>
      </w:r>
    </w:p>
    <w:p>
      <w:pPr>
        <w:spacing w:after="100" w:line="276"/>
      </w:pPr>
      <w:r>
        <w:rPr>
          <w:rFonts w:ascii="Georgia" w:cs="Georgia" w:eastAsia="Georgia" w:hAnsi="Georgia"/>
          <w:color w:val="2A2A2A"/>
          <w:sz w:val="21"/>
          <w:szCs w:val="21"/>
        </w:rPr>
        <w:t xml:space="preserve">These must be resolved before any agreement is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800"/>
        <w:gridCol w:w="3860"/>
      </w:tblGrid>
      <w:tr>
        <w:tc>
          <w:tcPr>
            <w:tcW w:type="dxa" w:w="6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28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Document &amp; Provision</w:t>
            </w:r>
          </w:p>
        </w:tc>
        <w:tc>
          <w:tcPr>
            <w:tcW w:type="dxa" w:w="38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C1</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Stablecoin deposit</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Roadmap Arts. 1.1–1.2</w:t>
            </w:r>
          </w:p>
          <w:p>
            <w:pPr>
              <w:spacing w:after="30"/>
            </w:pPr>
            <w:r>
              <w:rPr>
                <w:rFonts w:ascii="Arial" w:cs="Arial" w:eastAsia="Arial" w:hAnsi="Arial"/>
                <w:sz w:val="17"/>
                <w:szCs w:val="17"/>
              </w:rPr>
              <w:t xml:space="preserve">Proposal 1, Sec. 5.3.1</w:t>
            </w:r>
          </w:p>
          <w:p>
            <w:pPr>
              <w:spacing w:after="30"/>
            </w:pPr>
            <w:r>
              <w:rPr>
                <w:rFonts w:ascii="Arial" w:cs="Arial" w:eastAsia="Arial" w:hAnsi="Arial"/>
                <w:sz w:val="17"/>
                <w:szCs w:val="17"/>
              </w:rPr>
              <w:t xml:space="preserve">Roadmap Important Notes</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~$585K in crypto. AML/FINTRAC reporting obligations. CRA tax events. CMHC complications. 90-day lock while ÖZH retains walk-away right.</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C2</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Share pledge</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Proposal 1, Sec. 5.2.2</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Pledge on your shares = 50% of repayment amount. If the project stumbles, ÖZH can enforce and acquire your equity at distressed pricing.</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C3</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POA to ÖZH nominees</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Proposal 1, Secs. 5.4.1–5.4.2</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Power of attorney over bank accounts and corporate formation to people ÖZH designates. Transfers effective control.</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C4</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10-year global non-compete</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Roadmap, Conf. Agreement, Art. 5</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193 countries, 10 years. Would prohibit you from developing real estate anywhere on earth for a decade.</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C5</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London jurisdiction</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Roadmap, Conf. Agreement, Art. 10</w:t>
            </w:r>
          </w:p>
          <w:p>
            <w:pPr>
              <w:spacing w:after="30"/>
            </w:pPr>
            <w:r>
              <w:rPr>
                <w:rFonts w:ascii="Arial" w:cs="Arial" w:eastAsia="Arial" w:hAnsi="Arial"/>
                <w:sz w:val="17"/>
                <w:szCs w:val="17"/>
              </w:rPr>
              <w:t xml:space="preserve">Roadmap, JV Agreement, Art. 11</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Disputes resolved in London under English law. Massive cost, zero home-court advantage.</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C6</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Not actually equity</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Proposal 1, Sec. 5.1</w:t>
            </w:r>
          </w:p>
          <w:p>
            <w:pPr>
              <w:spacing w:after="30"/>
            </w:pPr>
            <w:r>
              <w:rPr>
                <w:rFonts w:ascii="Arial" w:cs="Arial" w:eastAsia="Arial" w:hAnsi="Arial"/>
                <w:sz w:val="17"/>
                <w:szCs w:val="17"/>
              </w:rPr>
              <w:t xml:space="preserve">Proposal 3A, Art. 2</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None of the proposals is a genuine equity partnership. ÖZH gets repayment and/or contractor fees while you carry market, construction, and currency risk.</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C7</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EUR currency exposure</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Proposal 1, Sec. II</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EUR-denominated debt on a CAD-revenue project. Every exchange rate fluctuation hits your bottom line.</w:t>
            </w:r>
          </w:p>
        </w:tc>
      </w:tr>
      <w:tr>
        <w:tc>
          <w:tcPr>
            <w:tcW w:type="dxa" w:w="6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C8</w:t>
            </w:r>
          </w:p>
        </w:tc>
        <w:tc>
          <w:tcPr>
            <w:tcW w:type="dxa" w:w="21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r>
              <w:rPr>
                <w:rFonts w:ascii="Arial" w:cs="Arial" w:eastAsia="Arial" w:hAnsi="Arial"/>
                <w:b/>
                <w:bCs/>
                <w:sz w:val="17"/>
                <w:szCs w:val="17"/>
              </w:rPr>
              <w:t xml:space="preserve">Unnamed $1.4M fee</w:t>
            </w:r>
          </w:p>
        </w:tc>
        <w:tc>
          <w:tcPr>
            <w:tcW w:type="dxa" w:w="280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Roadmap, JV Agreement, Art. 5</w:t>
            </w:r>
          </w:p>
        </w:tc>
        <w:tc>
          <w:tcPr>
            <w:tcW w:type="dxa" w:w="3860"/>
            <w:tcBorders>
              <w:top w:val="single" w:color="BBBBBB" w:sz="1"/>
              <w:left w:val="single" w:color="BBBBBB" w:sz="1"/>
              <w:bottom w:val="single" w:color="BBBBBB" w:sz="1"/>
              <w:right w:val="single" w:color="BBBBBB" w:sz="1"/>
            </w:tcBorders>
            <w:shd w:fill="FADBD8" w:val="clear"/>
            <w:tcMar>
              <w:top w:type="dxa" w:w="60"/>
              <w:left w:type="dxa" w:w="100"/>
              <w:bottom w:type="dxa" w:w="60"/>
              <w:right w:type="dxa" w:w="100"/>
            </w:tcMar>
          </w:tcPr>
          <w:p>
            <w:pPr>
              <w:spacing w:after="30"/>
            </w:pPr>
            <w:r>
              <w:rPr>
                <w:rFonts w:ascii="Arial" w:cs="Arial" w:eastAsia="Arial" w:hAnsi="Arial"/>
                <w:sz w:val="17"/>
                <w:szCs w:val="17"/>
              </w:rPr>
              <w:t xml:space="preserve">1% of project cost to unidentified parties for unspecified services. Requires full disclosure.</w:t>
            </w:r>
          </w:p>
        </w:tc>
      </w:tr>
    </w:tbl>
    <w:p>
      <w:pPr>
        <w:spacing w:after="60"/>
      </w:pPr>
    </w:p>
    <w:p>
      <w:r>
        <w:br w:type="page"/>
      </w:r>
    </w:p>
    <w:p>
      <w:pPr>
        <w:pStyle w:val="Heading2"/>
        <w:spacing w:after="120" w:before="240"/>
      </w:pPr>
      <w:r>
        <w:rPr>
          <w:rFonts w:ascii="Georgia" w:cs="Georgia" w:eastAsia="Georgia" w:hAnsi="Georgia"/>
          <w:b/>
          <w:bCs/>
          <w:color w:val="0C1A2E"/>
          <w:sz w:val="24"/>
          <w:szCs w:val="24"/>
        </w:rPr>
        <w:t xml:space="preserve">9.2 Significant Risks</w:t>
      </w:r>
    </w:p>
    <w:p>
      <w:pPr>
        <w:spacing w:after="100" w:line="276"/>
      </w:pPr>
      <w:r>
        <w:rPr>
          <w:rFonts w:ascii="Georgia" w:cs="Georgia" w:eastAsia="Georgia" w:hAnsi="Georgia"/>
          <w:color w:val="2A2A2A"/>
          <w:sz w:val="21"/>
          <w:szCs w:val="21"/>
        </w:rPr>
        <w:t xml:space="preserve">These require negotiation but are not necessarily deal-breakers.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800"/>
        <w:gridCol w:w="3860"/>
      </w:tblGrid>
      <w:tr>
        <w:tc>
          <w:tcPr>
            <w:tcW w:type="dxa" w:w="6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1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280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Document &amp; Provision</w:t>
            </w:r>
          </w:p>
        </w:tc>
        <w:tc>
          <w:tcPr>
            <w:tcW w:type="dxa" w:w="3860"/>
            <w:tcBorders>
              <w:top w:val="single" w:color="BBBBBB" w:sz="1"/>
              <w:left w:val="single" w:color="BBBBBB" w:sz="1"/>
              <w:bottom w:val="single" w:color="BBBBBB" w:sz="1"/>
              <w:right w:val="single" w:color="BBBBBB" w:sz="1"/>
            </w:tcBorders>
            <w:shd w:fill="0C1A2E" w:val="clear"/>
            <w:tcMar>
              <w:top w:type="dxa" w:w="60"/>
              <w:left w:type="dxa" w:w="100"/>
              <w:bottom w:type="dxa" w:w="60"/>
              <w:right w:type="dxa" w:w="100"/>
            </w:tcMar>
          </w:tcPr>
          <w:p>
            <w:r>
              <w:rPr>
                <w:rFonts w:ascii="Arial" w:cs="Arial" w:eastAsia="Arial" w:hAnsi="Arial"/>
                <w:b/>
                <w:bCs/>
                <w:color w:val="FFFFFF"/>
                <w:sz w:val="18"/>
                <w:szCs w:val="18"/>
              </w:rPr>
              <w:t xml:space="preserve">Concern</w:t>
            </w:r>
          </w:p>
        </w:tc>
      </w:tr>
      <w:tr>
        <w:tc>
          <w:tcPr>
            <w:tcW w:type="dxa" w:w="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S1</w:t>
            </w:r>
          </w:p>
        </w:tc>
        <w:tc>
          <w:tcPr>
            <w:tcW w:type="dxa" w:w="2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Perpetual confidentiality</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Roadmap, Conf. Agreement, Art. 11</w:t>
            </w:r>
          </w:p>
        </w:tc>
        <w:tc>
          <w:tcPr>
            <w:tcW w:type="dxa" w:w="38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No expiry date. Standard is 3–5 years after the venture ends.</w:t>
            </w:r>
          </w:p>
        </w:tc>
      </w:tr>
      <w:tr>
        <w:tc>
          <w:tcPr>
            <w:tcW w:type="dxa" w:w="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S2</w:t>
            </w:r>
          </w:p>
        </w:tc>
        <w:tc>
          <w:tcPr>
            <w:tcW w:type="dxa" w:w="2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One-sided obligations</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Roadmap, Conf. Agreement, Arts. 2, 4</w:t>
            </w:r>
          </w:p>
        </w:tc>
        <w:tc>
          <w:tcPr>
            <w:tcW w:type="dxa" w:w="38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Confidentiality obligations appear to bind you but not ÖZH. Must be reciprocal.</w:t>
            </w:r>
          </w:p>
        </w:tc>
      </w:tr>
      <w:tr>
        <w:tc>
          <w:tcPr>
            <w:tcW w:type="dxa" w:w="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S3</w:t>
            </w:r>
          </w:p>
        </w:tc>
        <w:tc>
          <w:tcPr>
            <w:tcW w:type="dxa" w:w="2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Construction control</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Proposal 2, Art. 4</w:t>
            </w:r>
          </w:p>
          <w:p>
            <w:pPr>
              <w:spacing w:after="30"/>
            </w:pPr>
            <w:r>
              <w:rPr>
                <w:rFonts w:ascii="Arial" w:cs="Arial" w:eastAsia="Arial" w:hAnsi="Arial"/>
                <w:sz w:val="17"/>
                <w:szCs w:val="17"/>
              </w:rPr>
              <w:t xml:space="preserve">Proposal 3A, Art. 4</w:t>
            </w:r>
          </w:p>
        </w:tc>
        <w:tc>
          <w:tcPr>
            <w:tcW w:type="dxa" w:w="38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Both EPC proposals give ÖZH full construction authority. Conflicts with your contractor relationships.</w:t>
            </w:r>
          </w:p>
        </w:tc>
      </w:tr>
      <w:tr>
        <w:tc>
          <w:tcPr>
            <w:tcW w:type="dxa" w:w="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S4</w:t>
            </w:r>
          </w:p>
        </w:tc>
        <w:tc>
          <w:tcPr>
            <w:tcW w:type="dxa" w:w="2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Advance payment</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Proposal 2, Art. 1</w:t>
            </w:r>
          </w:p>
        </w:tc>
        <w:tc>
          <w:tcPr>
            <w:tcW w:type="dxa" w:w="38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10–30% upfront = $13.1M–$39.3M. Capital-intensive.</w:t>
            </w:r>
          </w:p>
        </w:tc>
      </w:tr>
      <w:tr>
        <w:tc>
          <w:tcPr>
            <w:tcW w:type="dxa" w:w="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S5</w:t>
            </w:r>
          </w:p>
        </w:tc>
        <w:tc>
          <w:tcPr>
            <w:tcW w:type="dxa" w:w="2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ÖZH controls equity verification</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Proposal 3A, Art. 1</w:t>
            </w:r>
          </w:p>
        </w:tc>
        <w:tc>
          <w:tcPr>
            <w:tcW w:type="dxa" w:w="38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ÖZH’s banks decide whether your equity qualifies. Gives them a unilateral gate.</w:t>
            </w:r>
          </w:p>
        </w:tc>
      </w:tr>
      <w:tr>
        <w:tc>
          <w:tcPr>
            <w:tcW w:type="dxa" w:w="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S6</w:t>
            </w:r>
          </w:p>
        </w:tc>
        <w:tc>
          <w:tcPr>
            <w:tcW w:type="dxa" w:w="2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27 required sub-documents</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Roadmap, JV Agreement, Arts. 1–3</w:t>
            </w:r>
          </w:p>
        </w:tc>
        <w:tc>
          <w:tcPr>
            <w:tcW w:type="dxa" w:w="38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Heavy documentation burden. Many annexes may not apply to a Canadian residential project.</w:t>
            </w:r>
          </w:p>
        </w:tc>
      </w:tr>
      <w:tr>
        <w:tc>
          <w:tcPr>
            <w:tcW w:type="dxa" w:w="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S7</w:t>
            </w:r>
          </w:p>
        </w:tc>
        <w:tc>
          <w:tcPr>
            <w:tcW w:type="dxa" w:w="21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r>
              <w:rPr>
                <w:rFonts w:ascii="Arial" w:cs="Arial" w:eastAsia="Arial" w:hAnsi="Arial"/>
                <w:b/>
                <w:bCs/>
                <w:sz w:val="17"/>
                <w:szCs w:val="17"/>
              </w:rPr>
              <w:t xml:space="preserve">Ownership discrepancy</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Application Form, Sec. 2.5 vs. DD Form, Sec. 2.5</w:t>
            </w:r>
          </w:p>
        </w:tc>
        <w:tc>
          <w:tcPr>
            <w:tcW w:type="dxa" w:w="38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after="30"/>
            </w:pPr>
            <w:r>
              <w:rPr>
                <w:rFonts w:ascii="Arial" w:cs="Arial" w:eastAsia="Arial" w:hAnsi="Arial"/>
                <w:sz w:val="17"/>
                <w:szCs w:val="17"/>
              </w:rPr>
              <w:t xml:space="preserve">Main form says 50/50 ownership. Due diligence form says 25/25. This should be corrected before resubmission.</w:t>
            </w:r>
          </w:p>
        </w:tc>
      </w:tr>
    </w:tbl>
    <w:p>
      <w:r>
        <w:br w:type="page"/>
      </w:r>
    </w:p>
    <w:p>
      <w:pPr>
        <w:pStyle w:val="Heading1"/>
        <w:spacing w:after="160" w:before="300"/>
      </w:pPr>
      <w:r>
        <w:rPr>
          <w:rFonts w:ascii="Georgia" w:cs="Georgia" w:eastAsia="Georgia" w:hAnsi="Georgia"/>
          <w:b/>
          <w:bCs/>
          <w:color w:val="0C1A2E"/>
          <w:sz w:val="30"/>
          <w:szCs w:val="30"/>
        </w:rPr>
        <w:t xml:space="preserve">10. Preliminary Background — Öztürk Holding</w:t>
      </w:r>
    </w:p>
    <w:p>
      <w:pPr>
        <w:spacing w:after="100" w:line="276"/>
      </w:pPr>
      <w:r>
        <w:rPr>
          <w:rFonts w:ascii="Georgia" w:cs="Georgia" w:eastAsia="Georgia" w:hAnsi="Georgia"/>
          <w:color w:val="2A2A2A"/>
          <w:sz w:val="21"/>
          <w:szCs w:val="21"/>
        </w:rPr>
        <w:t xml:space="preserve">I have conducted a preliminary background review based on publicly available information. This is not a substitute for formal due diligence through legal counsel, and I agree with your suggestion that Global Affairs Canada’s Turkish desk would be a valuable resource.</w:t>
      </w:r>
    </w:p>
    <w:p>
      <w:pPr>
        <w:pStyle w:val="Heading3"/>
        <w:spacing w:after="100" w:before="180"/>
      </w:pPr>
      <w:r>
        <w:rPr>
          <w:rFonts w:ascii="Georgia" w:cs="Georgia" w:eastAsia="Georgia" w:hAnsi="Georgia"/>
          <w:b/>
          <w:bCs/>
          <w:color w:val="34495E"/>
          <w:sz w:val="21"/>
          <w:szCs w:val="21"/>
        </w:rPr>
        <w:t xml:space="preserve">What I Found</w:t>
      </w:r>
    </w:p>
    <w:p>
      <w:pPr>
        <w:spacing w:after="100" w:line="276"/>
      </w:pPr>
      <w:r>
        <w:rPr>
          <w:rFonts w:ascii="Georgia" w:cs="Georgia" w:eastAsia="Georgia" w:hAnsi="Georgia"/>
          <w:color w:val="2A2A2A"/>
          <w:sz w:val="21"/>
          <w:szCs w:val="21"/>
        </w:rPr>
        <w:t xml:space="preserve">ÖZH presents itself as an $11 billion conglomerate. The signatory on all three proposals is </w:t>
      </w:r>
      <w:r>
        <w:rPr>
          <w:rFonts w:ascii="Georgia" w:cs="Georgia" w:eastAsia="Georgia" w:hAnsi="Georgia"/>
          <w:b/>
          <w:bCs/>
          <w:color w:val="2A2A2A"/>
          <w:sz w:val="21"/>
          <w:szCs w:val="21"/>
        </w:rPr>
        <w:t xml:space="preserve">Tannaz Nazif</w:t>
      </w:r>
      <w:r>
        <w:rPr>
          <w:rFonts w:ascii="Georgia" w:cs="Georgia" w:eastAsia="Georgia" w:hAnsi="Georgia"/>
          <w:color w:val="2A2A2A"/>
          <w:sz w:val="21"/>
          <w:szCs w:val="21"/>
        </w:rPr>
        <w:t xml:space="preserve">, identified as Deputy General Manager. The founding chairman is </w:t>
      </w:r>
      <w:r>
        <w:rPr>
          <w:rFonts w:ascii="Georgia" w:cs="Georgia" w:eastAsia="Georgia" w:hAnsi="Georgia"/>
          <w:b/>
          <w:bCs/>
          <w:color w:val="2A2A2A"/>
          <w:sz w:val="21"/>
          <w:szCs w:val="21"/>
        </w:rPr>
        <w:t xml:space="preserve">Yusuf Öztürk</w:t>
      </w:r>
      <w:r>
        <w:rPr>
          <w:rFonts w:ascii="Georgia" w:cs="Georgia" w:eastAsia="Georgia" w:hAnsi="Georgia"/>
          <w:color w:val="2A2A2A"/>
          <w:sz w:val="21"/>
          <w:szCs w:val="21"/>
        </w:rPr>
        <w:t xml:space="preserve">. A related entity called </w:t>
      </w:r>
      <w:r>
        <w:rPr>
          <w:rFonts w:ascii="Georgia" w:cs="Georgia" w:eastAsia="Georgia" w:hAnsi="Georgia"/>
          <w:b/>
          <w:bCs/>
          <w:color w:val="2A2A2A"/>
          <w:sz w:val="21"/>
          <w:szCs w:val="21"/>
        </w:rPr>
        <w:t xml:space="preserve">Dutinvest International Group</w:t>
      </w:r>
      <w:r>
        <w:rPr>
          <w:rFonts w:ascii="Georgia" w:cs="Georgia" w:eastAsia="Georgia" w:hAnsi="Georgia"/>
          <w:color w:val="2A2A2A"/>
          <w:sz w:val="21"/>
          <w:szCs w:val="21"/>
        </w:rPr>
        <w:t xml:space="preserve"> appears connected to the corporate structure. The company lists divisions in construction &amp; energy, foreign trade, and financial services.</w:t>
      </w:r>
    </w:p>
    <w:p>
      <w:pPr>
        <w:spacing w:after="100" w:line="276"/>
      </w:pPr>
      <w:r>
        <w:rPr>
          <w:rFonts w:ascii="Georgia" w:cs="Georgia" w:eastAsia="Georgia" w:hAnsi="Georgia"/>
          <w:color w:val="2A2A2A"/>
          <w:sz w:val="21"/>
          <w:szCs w:val="21"/>
        </w:rPr>
        <w:t xml:space="preserve">For a purported $11B entity, the English-language public footprint is surprisingly thin. I did not find major international press coverage, institutional investor references, or third-party credit ratings. Comparable conglomerates at that scale typically have a substantial public record. That is not an accusation — it is an observation that warrants investigation.</w:t>
      </w:r>
    </w:p>
    <w:p>
      <w:pPr>
        <w:spacing w:after="100" w:line="276"/>
      </w:pPr>
      <w:r>
        <w:rPr>
          <w:rFonts w:ascii="Georgia" w:cs="Georgia" w:eastAsia="Georgia" w:hAnsi="Georgia"/>
          <w:color w:val="2A2A2A"/>
          <w:sz w:val="21"/>
          <w:szCs w:val="21"/>
        </w:rPr>
        <w:t xml:space="preserve">I found no specific fraud allegations, sanctions listings, or criminal proceedings. But the absence of negative findings is not the same as a clean bill of health.</w:t>
      </w:r>
    </w:p>
    <w:p>
      <w:pPr>
        <w:pStyle w:val="Heading3"/>
        <w:spacing w:after="100" w:before="180"/>
      </w:pPr>
      <w:r>
        <w:rPr>
          <w:rFonts w:ascii="Georgia" w:cs="Georgia" w:eastAsia="Georgia" w:hAnsi="Georgia"/>
          <w:b/>
          <w:bCs/>
          <w:color w:val="34495E"/>
          <w:sz w:val="21"/>
          <w:szCs w:val="21"/>
        </w:rPr>
        <w:t xml:space="preserve">Pierre MacMartin’s Opinion</w:t>
      </w:r>
    </w:p>
    <w:p>
      <w:pPr>
        <w:spacing w:after="100" w:line="276"/>
      </w:pPr>
      <w:r>
        <w:rPr>
          <w:rFonts w:ascii="Georgia" w:cs="Georgia" w:eastAsia="Georgia" w:hAnsi="Georgia"/>
          <w:color w:val="2A2A2A"/>
          <w:sz w:val="21"/>
          <w:szCs w:val="21"/>
        </w:rPr>
        <w:t xml:space="preserve">You mentioned that Pierre MacMartin has provided a legal opinion confirming that a Turkish entity participating in a Canadian real estate venture is not legally problematic, and that CMHC would not object provided the Canadian corporation maintains at least 50% Canadian ownership. That is helpful context. [Meeting, April 9]</w:t>
      </w:r>
    </w:p>
    <w:p>
      <w:pPr>
        <w:pStyle w:val="Heading3"/>
        <w:spacing w:after="100" w:before="180"/>
      </w:pPr>
      <w:r>
        <w:rPr>
          <w:rFonts w:ascii="Georgia" w:cs="Georgia" w:eastAsia="Georgia" w:hAnsi="Georgia"/>
          <w:b/>
          <w:bCs/>
          <w:color w:val="34495E"/>
          <w:sz w:val="21"/>
          <w:szCs w:val="21"/>
        </w:rPr>
        <w:t xml:space="preserve">Recommended Next Steps</w:t>
      </w:r>
    </w:p>
    <w:p>
      <w:pPr>
        <w:spacing w:after="100" w:line="276"/>
      </w:pPr>
      <w:r>
        <w:rPr>
          <w:rFonts w:ascii="Georgia" w:cs="Georgia" w:eastAsia="Georgia" w:hAnsi="Georgia"/>
          <w:color w:val="2A2A2A"/>
          <w:sz w:val="21"/>
          <w:szCs w:val="21"/>
        </w:rPr>
        <w:t xml:space="preserve">Request audited financial statements from ÖZH. A $20M commitment should come with verified financials. Engage Global Affairs Canada, Turkish desk, to confirm corporate standing. Run sanctions screening against OFAC, Canadian, and EU lists. Verify that Tannaz Nazif has the authority to bind ÖZH. And ask for references from completed projects of comparable scale.</w:t>
      </w:r>
    </w:p>
    <w:p>
      <w:r>
        <w:br w:type="page"/>
      </w:r>
    </w:p>
    <w:p>
      <w:pPr>
        <w:pStyle w:val="Heading1"/>
        <w:spacing w:after="160" w:before="300"/>
      </w:pPr>
      <w:r>
        <w:rPr>
          <w:rFonts w:ascii="Georgia" w:cs="Georgia" w:eastAsia="Georgia" w:hAnsi="Georgia"/>
          <w:b/>
          <w:bCs/>
          <w:color w:val="0C1A2E"/>
          <w:sz w:val="30"/>
          <w:szCs w:val="30"/>
        </w:rPr>
        <w:t xml:space="preserve">11. Recommended Counter-Position</w:t>
      </w:r>
    </w:p>
    <w:p>
      <w:pPr>
        <w:spacing w:after="100" w:line="276"/>
      </w:pPr>
      <w:r>
        <w:rPr>
          <w:rFonts w:ascii="Georgia" w:cs="Georgia" w:eastAsia="Georgia" w:hAnsi="Georgia"/>
          <w:color w:val="2A2A2A"/>
          <w:sz w:val="21"/>
          <w:szCs w:val="21"/>
        </w:rPr>
        <w:t xml:space="preserve">Based on everything in this assessment, here is how I would frame the response to ÖZH. This is organized as accept, reject, modify, and propose.</w:t>
      </w:r>
    </w:p>
    <w:p>
      <w:pPr>
        <w:pStyle w:val="Heading2"/>
        <w:spacing w:after="120" w:before="240"/>
      </w:pPr>
      <w:r>
        <w:rPr>
          <w:rFonts w:ascii="Georgia" w:cs="Georgia" w:eastAsia="Georgia" w:hAnsi="Georgia"/>
          <w:b/>
          <w:bCs/>
          <w:color w:val="0C1A2E"/>
          <w:sz w:val="24"/>
          <w:szCs w:val="24"/>
        </w:rPr>
        <w:t xml:space="preserve">11.1 Accept</w:t>
      </w:r>
    </w:p>
    <w:p>
      <w:pPr>
        <w:spacing w:after="100" w:line="276"/>
      </w:pPr>
      <w:r>
        <w:rPr>
          <w:rFonts w:ascii="Georgia" w:cs="Georgia" w:eastAsia="Georgia" w:hAnsi="Georgia"/>
          <w:color w:val="2A2A2A"/>
          <w:sz w:val="21"/>
          <w:szCs w:val="21"/>
        </w:rPr>
        <w:t xml:space="preserve">The 50/50 profit-sharing structure (Roadmap, JV Agreement, Art. 12) aligns with your objective. The concept of mutual confidentiality is standard and appropriate — though the specific terms need work. The procedural framework (Proposal 1, Sections 1–3) is reasonable. And the warranty and supervision commitments (Proposals 2 and 3A) are fair if ÖZH has any construction role.</w:t>
      </w:r>
    </w:p>
    <w:p>
      <w:pPr>
        <w:pStyle w:val="Heading2"/>
        <w:spacing w:after="120" w:before="240"/>
      </w:pPr>
      <w:r>
        <w:rPr>
          <w:rFonts w:ascii="Georgia" w:cs="Georgia" w:eastAsia="Georgia" w:hAnsi="Georgia"/>
          <w:b/>
          <w:bCs/>
          <w:color w:val="0C1A2E"/>
          <w:sz w:val="24"/>
          <w:szCs w:val="24"/>
        </w:rPr>
        <w:t xml:space="preserve">11.2 Reject</w:t>
      </w:r>
    </w:p>
    <w:p>
      <w:pPr>
        <w:spacing w:after="100" w:line="276"/>
      </w:pPr>
      <w:r>
        <w:rPr>
          <w:rFonts w:ascii="Georgia" w:cs="Georgia" w:eastAsia="Georgia" w:hAnsi="Georgia"/>
          <w:color w:val="2A2A2A"/>
          <w:sz w:val="21"/>
          <w:szCs w:val="21"/>
        </w:rPr>
        <w:t xml:space="preserve">All cryptocurrency and stablecoin provisions. The 10-year global non-compete. London jurisdiction and LCIA arbitration. Power of attorney to ÖZH-designated individuals. The share pledge. EUR-denominated financing. These are not negotiating positions — they are deal conditions that are fundamentally incompatible with a Canadian residential development financed by CMHC.</w:t>
      </w:r>
    </w:p>
    <w:p>
      <w:pPr>
        <w:pStyle w:val="Heading2"/>
        <w:spacing w:after="120" w:before="240"/>
      </w:pPr>
      <w:r>
        <w:rPr>
          <w:rFonts w:ascii="Georgia" w:cs="Georgia" w:eastAsia="Georgia" w:hAnsi="Georgia"/>
          <w:b/>
          <w:bCs/>
          <w:color w:val="0C1A2E"/>
          <w:sz w:val="24"/>
          <w:szCs w:val="24"/>
        </w:rPr>
        <w:t xml:space="preserve">11.3 Modify</w:t>
      </w:r>
    </w:p>
    <w:p>
      <w:pPr>
        <w:spacing w:after="100" w:line="276"/>
      </w:pPr>
      <w:r>
        <w:rPr>
          <w:rFonts w:ascii="Georgia" w:cs="Georgia" w:eastAsia="Georgia" w:hAnsi="Georgia"/>
          <w:color w:val="2A2A2A"/>
          <w:sz w:val="21"/>
          <w:szCs w:val="21"/>
        </w:rPr>
        <w:t xml:space="preserve">Confidentiality obligations must be mutual and expire 5 years after termination. The consultant fee must be disclosed, reduced to 0.25–0.50%, made contingent on closing, and shared as a JV expense. Governance must provide equal board representation with mutual veto rights. The documentation burden should be reduced to what is actually required for a Canadian residential JV. And if ÖZH has any construction involvement, you retain contractor selection with competitive bidding among your established relationships.</w:t>
      </w:r>
    </w:p>
    <w:p>
      <w:r>
        <w:br w:type="page"/>
      </w:r>
    </w:p>
    <w:p>
      <w:pPr>
        <w:pStyle w:val="Heading2"/>
        <w:spacing w:after="120" w:before="240"/>
      </w:pPr>
      <w:r>
        <w:rPr>
          <w:rFonts w:ascii="Georgia" w:cs="Georgia" w:eastAsia="Georgia" w:hAnsi="Georgia"/>
          <w:b/>
          <w:bCs/>
          <w:color w:val="0C1A2E"/>
          <w:sz w:val="24"/>
          <w:szCs w:val="24"/>
        </w:rPr>
        <w:t xml:space="preserve">11.4 Your Counter-Proposal</w:t>
      </w:r>
    </w:p>
    <w:p>
      <w:pPr>
        <w:spacing w:after="100" w:line="276"/>
      </w:pPr>
      <w:r>
        <w:rPr>
          <w:rFonts w:ascii="Georgia" w:cs="Georgia" w:eastAsia="Georgia" w:hAnsi="Georgia"/>
          <w:color w:val="2A2A2A"/>
          <w:sz w:val="21"/>
          <w:szCs w:val="21"/>
        </w:rPr>
        <w:t xml:space="preserve">The structure you should put on the table:</w:t>
      </w:r>
    </w:p>
    <w:p>
      <w:pPr>
        <w:spacing w:after="100" w:line="276"/>
      </w:pPr>
      <w:r>
        <w:rPr>
          <w:rFonts w:ascii="Georgia" w:cs="Georgia" w:eastAsia="Georgia" w:hAnsi="Georgia"/>
          <w:color w:val="2A2A2A"/>
          <w:sz w:val="21"/>
          <w:szCs w:val="21"/>
        </w:rPr>
        <w:t xml:space="preserve"/>
      </w:r>
      <w:r>
        <w:rPr>
          <w:rFonts w:ascii="Georgia" w:cs="Georgia" w:eastAsia="Georgia" w:hAnsi="Georgia"/>
          <w:b/>
          <w:bCs/>
          <w:color w:val="2A2A2A"/>
          <w:sz w:val="21"/>
          <w:szCs w:val="21"/>
        </w:rPr>
        <w:t xml:space="preserve">Phase 1 share sale:</w:t>
      </w:r>
      <w:r>
        <w:rPr>
          <w:rFonts w:ascii="Georgia" w:cs="Georgia" w:eastAsia="Georgia" w:hAnsi="Georgia"/>
          <w:color w:val="2A2A2A"/>
          <w:sz w:val="21"/>
          <w:szCs w:val="21"/>
        </w:rPr>
        <w:t xml:space="preserve"> ÖZH purchases 50% of the shares in 9266569 Canada Inc. at a valuation of $145M. Share transfer — not asset sale — which preserves the corporate structure, all existing contracts, the CMHC relationship, and minimizes tax and legal costs.</w:t>
      </w:r>
    </w:p>
    <w:p>
      <w:pPr>
        <w:spacing w:after="100" w:line="276"/>
      </w:pPr>
      <w:r>
        <w:rPr>
          <w:rFonts w:ascii="Georgia" w:cs="Georgia" w:eastAsia="Georgia" w:hAnsi="Georgia"/>
          <w:color w:val="2A2A2A"/>
          <w:sz w:val="21"/>
          <w:szCs w:val="21"/>
        </w:rPr>
        <w:t xml:space="preserve"/>
      </w:r>
      <w:r>
        <w:rPr>
          <w:rFonts w:ascii="Georgia" w:cs="Georgia" w:eastAsia="Georgia" w:hAnsi="Georgia"/>
          <w:b/>
          <w:bCs/>
          <w:color w:val="2A2A2A"/>
          <w:sz w:val="21"/>
          <w:szCs w:val="21"/>
        </w:rPr>
        <w:t xml:space="preserve">Phase 2 co-development:</w:t>
      </w:r>
      <w:r>
        <w:rPr>
          <w:rFonts w:ascii="Georgia" w:cs="Georgia" w:eastAsia="Georgia" w:hAnsi="Georgia"/>
          <w:color w:val="2A2A2A"/>
          <w:sz w:val="21"/>
          <w:szCs w:val="21"/>
        </w:rPr>
        <w:t xml:space="preserve"> Partners contribute equity on agreed terms ($15M land + $5M cash from you; equivalent contribution from ÖZH). CMHC-backed debt at approximately 4% for the balance. Canadian contractors selected through competitive bidding managed by the JV board.</w:t>
      </w:r>
    </w:p>
    <w:p>
      <w:pPr>
        <w:spacing w:after="100" w:line="276"/>
      </w:pPr>
      <w:r>
        <w:rPr>
          <w:rFonts w:ascii="Georgia" w:cs="Georgia" w:eastAsia="Georgia" w:hAnsi="Georgia"/>
          <w:color w:val="2A2A2A"/>
          <w:sz w:val="21"/>
          <w:szCs w:val="21"/>
        </w:rPr>
        <w:t xml:space="preserve"/>
      </w:r>
      <w:r>
        <w:rPr>
          <w:rFonts w:ascii="Georgia" w:cs="Georgia" w:eastAsia="Georgia" w:hAnsi="Georgia"/>
          <w:b/>
          <w:bCs/>
          <w:color w:val="2A2A2A"/>
          <w:sz w:val="21"/>
          <w:szCs w:val="21"/>
        </w:rPr>
        <w:t xml:space="preserve">Canadian governance:</w:t>
      </w:r>
      <w:r>
        <w:rPr>
          <w:rFonts w:ascii="Georgia" w:cs="Georgia" w:eastAsia="Georgia" w:hAnsi="Georgia"/>
          <w:color w:val="2A2A2A"/>
          <w:sz w:val="21"/>
          <w:szCs w:val="21"/>
        </w:rPr>
        <w:t xml:space="preserve"> All agreements under Ontario or Quebec law. All disputes resolved in Canadian courts or through Canadian arbitration. Equal board representation. Standard Canadian JV agreement drafted by your counsel.</w:t>
      </w:r>
    </w:p>
    <w:p>
      <w:pPr>
        <w:spacing w:after="100" w:line="276"/>
      </w:pPr>
      <w:r>
        <w:rPr>
          <w:rFonts w:ascii="Georgia" w:cs="Georgia" w:eastAsia="Georgia" w:hAnsi="Georgia"/>
          <w:color w:val="2A2A2A"/>
          <w:sz w:val="21"/>
          <w:szCs w:val="21"/>
        </w:rPr>
        <w:t xml:space="preserve"/>
      </w:r>
      <w:r>
        <w:rPr>
          <w:rFonts w:ascii="Georgia" w:cs="Georgia" w:eastAsia="Georgia" w:hAnsi="Georgia"/>
          <w:b/>
          <w:bCs/>
          <w:color w:val="2A2A2A"/>
          <w:sz w:val="21"/>
          <w:szCs w:val="21"/>
        </w:rPr>
        <w:t xml:space="preserve">No cryptocurrency.</w:t>
      </w:r>
      <w:r>
        <w:rPr>
          <w:rFonts w:ascii="Georgia" w:cs="Georgia" w:eastAsia="Georgia" w:hAnsi="Georgia"/>
          <w:color w:val="2A2A2A"/>
          <w:sz w:val="21"/>
          <w:szCs w:val="21"/>
        </w:rPr>
        <w:t xml:space="preserve"> All transactions in Canadian dollars through Canadian banking channels.</w:t>
      </w:r>
    </w:p>
    <w:p>
      <w:pPr>
        <w:spacing w:after="200"/>
      </w:pPr>
    </w:p>
    <w:p>
      <w:pPr>
        <w:pBdr>
          <w:bottom w:val="single" w:color="0C1A2E" w:sz="4" w:space="1"/>
        </w:pBdr>
      </w:pPr>
    </w:p>
    <w:p>
      <w:pPr>
        <w:spacing w:after="60"/>
      </w:pPr>
    </w:p>
    <w:p>
      <w:pPr>
        <w:spacing w:after="80"/>
      </w:pPr>
      <w:r>
        <w:rPr>
          <w:rFonts w:ascii="Georgia" w:cs="Georgia" w:eastAsia="Georgia" w:hAnsi="Georgia"/>
          <w:i/>
          <w:iCs/>
          <w:color w:val="555555"/>
          <w:sz w:val="19"/>
          <w:szCs w:val="19"/>
        </w:rPr>
        <w:t xml:space="preserve">This preliminary assessment is based on a first review of the documents provided and an in-person meeting on April 9, 2026. It does not constitute legal advice. I recommend formal legal review by qualified counsel before any counter-proposal is submitted or any agreement is signed.</w:t>
      </w:r>
    </w:p>
    <w:p>
      <w:pPr>
        <w:spacing w:after="60"/>
      </w:pPr>
    </w:p>
    <w:p>
      <w:pPr>
        <w:spacing w:after="600"/>
      </w:pPr>
    </w:p>
    <w:p>
      <w:pPr>
        <w:spacing w:after="100" w:line="276"/>
      </w:pPr>
      <w:r>
        <w:rPr>
          <w:rFonts w:ascii="Georgia" w:cs="Georgia" w:eastAsia="Georgia" w:hAnsi="Georgia"/>
          <w:color w:val="2A2A2A"/>
          <w:sz w:val="21"/>
          <w:szCs w:val="21"/>
        </w:rPr>
        <w:t xml:space="preserve"/>
      </w:r>
      <w:r>
        <w:rPr>
          <w:rFonts w:ascii="Georgia" w:cs="Georgia" w:eastAsia="Georgia" w:hAnsi="Georgia"/>
          <w:b/>
          <w:bCs/>
          <w:color w:val="2A2A2A"/>
          <w:sz w:val="21"/>
          <w:szCs w:val="21"/>
        </w:rPr>
        <w:t xml:space="preserve">Joseph Soares, MBA, PMP, Adm.A.</w:t>
      </w:r>
      <w:r>
        <w:rPr>
          <w:rFonts w:ascii="Georgia" w:cs="Georgia" w:eastAsia="Georgia" w:hAnsi="Georgia"/>
          <w:color w:val="2A2A2A"/>
          <w:sz w:val="21"/>
          <w:szCs w:val="21"/>
        </w:rPr>
        <w:t xml:space="preserve"/>
      </w:r>
    </w:p>
    <w:p>
      <w:pPr>
        <w:spacing w:after="100" w:line="276"/>
      </w:pPr>
      <w:r>
        <w:rPr>
          <w:rFonts w:ascii="Georgia" w:cs="Georgia" w:eastAsia="Georgia" w:hAnsi="Georgia"/>
          <w:color w:val="2A2A2A"/>
          <w:sz w:val="21"/>
          <w:szCs w:val="21"/>
        </w:rPr>
        <w:t xml:space="preserve">IBPROM Corp</w:t>
      </w:r>
    </w:p>
    <w:p>
      <w:pPr>
        <w:spacing w:after="100" w:line="276"/>
      </w:pPr>
      <w:r>
        <w:rPr>
          <w:rFonts w:ascii="Georgia" w:cs="Georgia" w:eastAsia="Georgia" w:hAnsi="Georgia"/>
          <w:color w:val="2A2A2A"/>
          <w:sz w:val="21"/>
          <w:szCs w:val="21"/>
        </w:rPr>
        <w:t xml:space="preserve">April 9, 2026</w:t>
      </w:r>
    </w:p>
    <w:sectPr>
      <w:headerReference w:type="default" r:id="rId10"/>
      <w:footerReference w:type="default" r:id="rId11"/>
      <w:type w:val="nextPage"/>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4"/>
        <w:szCs w:val="14"/>
      </w:rPr>
      <w:t xml:space="preserve">© 2026 International Business Promotion (IBPROM) Corp. · All rights reserved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5"/>
        <w:szCs w:val="15"/>
      </w:rPr>
      <w:t xml:space="preserve">Page </w:t>
    </w:r>
    <w:r>
      <w:rPr>
        <w:rFonts w:ascii="Georgia" w:cs="Georgia" w:eastAsia="Georgia" w:hAnsi="Georgia"/>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3" w:space="1"/>
      </w:pBdr>
    </w:pPr>
    <w:r>
      <w:rPr>
        <w:rFonts w:ascii="Georgia" w:cs="Georgia" w:eastAsia="Georgia" w:hAnsi="Georgia"/>
        <w:b/>
        <w:bCs/>
        <w:color w:val="C9A84C"/>
        <w:sz w:val="16"/>
        <w:szCs w:val="16"/>
      </w:rPr>
      <w:t xml:space="preserve">IBPROM</w:t>
    </w:r>
    <w:r>
      <w:rPr>
        <w:rFonts w:ascii="Georgia" w:cs="Georgia" w:eastAsia="Georgia" w:hAnsi="Georgia"/>
        <w:i/>
        <w:iCs/>
        <w:color w:val="999999"/>
        <w:sz w:val="14"/>
        <w:szCs w:val="14"/>
      </w:rPr>
      <w:t xml:space="preserve">  |  Confidential — Preliminary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Georgia" w:cs="Georgia" w:eastAsia="Georgia" w:hAnsi="Georgia"/>
      <w:b/>
      <w:bCs/>
      <w:color w:val="0C1A2E"/>
      <w:sz w:val="30"/>
      <w:szCs w:val="30"/>
    </w:rPr>
  </w:style>
  <w:style w:type="paragraph" w:styleId="Heading2">
    <w:name w:val="Heading 2"/>
    <w:basedOn w:val="Normal"/>
    <w:next w:val="Normal"/>
    <w:qFormat/>
    <w:pPr>
      <w:spacing w:after="120" w:before="240"/>
      <w:outlineLvl w:val="1"/>
    </w:pPr>
    <w:rPr>
      <w:rFonts w:ascii="Georgia" w:cs="Georgia" w:eastAsia="Georgia" w:hAnsi="Georgia"/>
      <w:b/>
      <w:bCs/>
      <w:color w:val="0C1A2E"/>
      <w:sz w:val="24"/>
      <w:szCs w:val="24"/>
    </w:rPr>
  </w:style>
  <w:style w:type="paragraph" w:styleId="Heading3">
    <w:name w:val="Heading 3"/>
    <w:basedOn w:val="Normal"/>
    <w:next w:val="Normal"/>
    <w:qFormat/>
    <w:pPr>
      <w:spacing w:after="100" w:before="180"/>
      <w:outlineLvl w:val="2"/>
    </w:pPr>
    <w:rPr>
      <w:rFonts w:ascii="Georgia" w:cs="Georgia" w:eastAsia="Georgia" w:hAnsi="Georgia"/>
      <w:b/>
      <w:bCs/>
      <w:color w:val="34495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2026-04-09T21:40:07.039Z</dcterms:created>
  <dcterms:modified xsi:type="dcterms:W3CDTF">2026-04-09T21:40:07.039Z</dcterms:modified>
</cp:coreProperties>
</file>

<file path=docProps/custom.xml><?xml version="1.0" encoding="utf-8"?>
<Properties xmlns="http://schemas.openxmlformats.org/officeDocument/2006/custom-properties" xmlns:vt="http://schemas.openxmlformats.org/officeDocument/2006/docPropsVTypes"/>
</file>