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914400"/>
            <wp:effectExtent t="0" r="0" b="0" l="0"/>
            <wp:docPr id="1" name="Logo" descr="SJ Carpentry LLC logo" title="SJ Carpentry LL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40"/>
        <w:jc w:val="center"/>
      </w:pPr>
      <w:r>
        <w:rPr>
          <w:rFonts w:ascii="Jost" w:cs="Jost" w:eastAsia="Jost" w:hAnsi="Jost"/>
          <w:b/>
          <w:bCs/>
          <w:color w:val="4A5944"/>
          <w:spacing w:val="32"/>
          <w:sz w:val="17"/>
          <w:szCs w:val="17"/>
        </w:rPr>
        <w:t xml:space="preserve">SJ CARPENTRY LLC</w:t>
      </w:r>
    </w:p>
    <w:p>
      <w:pPr>
        <w:spacing w:after="160"/>
        <w:jc w:val="center"/>
      </w:pPr>
      <w:r>
        <w:rPr>
          <w:rFonts w:ascii="Jost" w:cs="Jost" w:eastAsia="Jost" w:hAnsi="Jost"/>
          <w:b w:val="false"/>
          <w:bCs w:val="false"/>
          <w:color w:val="9B9488"/>
          <w:spacing w:val="8"/>
          <w:sz w:val="14"/>
          <w:szCs w:val="14"/>
        </w:rPr>
        <w:t xml:space="preserve">57 Center Rd, Circle Pines, MN 55014   ·   (612) 361-6585   ·   info@sjcarpentryllc.com</w:t>
      </w:r>
    </w:p>
    <w:p>
      <w:pPr>
        <w:pBdr>
          <w:bottom w:val="single" w:color="C9A96E" w:sz="8" w:space="6"/>
        </w:pBdr>
        <w:spacing w:after="200"/>
      </w:pPr>
    </w:p>
    <w:p>
      <w:pPr>
        <w:pStyle w:val="Heading1"/>
        <w:spacing w:after="40"/>
        <w:jc w:val="left"/>
      </w:pPr>
      <w:r>
        <w:rPr>
          <w:rFonts w:ascii="Cormorant Garamond" w:cs="Cormorant Garamond" w:eastAsia="Cormorant Garamond" w:hAnsi="Cormorant Garamond"/>
          <w:color w:val="1E1A17"/>
          <w:sz w:val="46"/>
          <w:szCs w:val="46"/>
        </w:rPr>
        <w:t xml:space="preserve">Construction Contract</w:t>
      </w:r>
    </w:p>
    <w:p>
      <w:pPr>
        <w:spacing w:after="260"/>
      </w:pPr>
      <w:r>
        <w:rPr>
          <w:rFonts w:ascii="EB Garamond" w:cs="EB Garamond" w:eastAsia="EB Garamond" w:hAnsi="EB Garamond"/>
          <w:i/>
          <w:iCs/>
          <w:color w:val="9B9488"/>
          <w:sz w:val="20"/>
          <w:szCs w:val="20"/>
        </w:rPr>
        <w:t xml:space="preserve">A binding agreement between SJ Carpentry LLC and the client named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5"/>
              <w:left w:type="dxa" w:w="0"/>
              <w:bottom w:type="dxa" w:w="45"/>
              <w:right w:type="dxa" w:w="80"/>
            </w:tcMar>
            <w:vAlign w:val="bottom"/>
          </w:tcPr>
          <w:p>
            <w:r>
              <w:rPr>
                <w:rFonts w:ascii="Jost" w:cs="Jost" w:eastAsia="Jost" w:hAnsi="Jost"/>
                <w:b w:val="false"/>
                <w:bCs w:val="false"/>
                <w:color w:val="9B9488"/>
                <w:spacing w:val="14"/>
                <w:sz w:val="14"/>
                <w:szCs w:val="14"/>
              </w:rPr>
              <w:t xml:space="preserve">CONTRACT #</w:t>
            </w:r>
          </w:p>
        </w:tc>
        <w:tc>
          <w:tcPr>
            <w:tcW w:type="dxa" w:w="7160"/>
            <w:tcBorders>
              <w:top w:val="none" w:color="FFFFFF" w:sz="0"/>
              <w:left w:val="none" w:color="FFFFFF" w:sz="0"/>
              <w:bottom w:val="single" w:color="D8D2C8" w:sz="4"/>
              <w:right w:val="none" w:color="FFFFFF" w:sz="0"/>
            </w:tcBorders>
            <w:tcMar>
              <w:top w:type="dxa" w:w="45"/>
              <w:left w:type="dxa" w:w="40"/>
              <w:bottom w:type="dxa" w:w="45"/>
              <w:right w:type="dxa" w:w="0"/>
            </w:tcMar>
            <w:vAlign w:val="bottom"/>
          </w:tcPr>
          <w:p>
            <w:r>
              <w:rPr>
                <w:rFonts w:ascii="EB Garamond" w:cs="EB Garamond" w:eastAsia="EB Garamond" w:hAnsi="EB Garamond"/>
                <w:color w:val="1E1A17"/>
                <w:sz w:val="21"/>
                <w:szCs w:val="21"/>
              </w:rPr>
              <w:t xml:space="preserve"> </w:t>
            </w:r>
          </w:p>
        </w:tc>
      </w:tr>
      <w:tr>
        <w:tc>
          <w:tcPr>
            <w:tcW w:type="dxa" w:w="2200"/>
            <w:tcBorders>
              <w:top w:val="none" w:color="FFFFFF" w:sz="0"/>
              <w:left w:val="none" w:color="FFFFFF" w:sz="0"/>
              <w:bottom w:val="none" w:color="FFFFFF" w:sz="0"/>
              <w:right w:val="none" w:color="FFFFFF" w:sz="0"/>
            </w:tcBorders>
            <w:tcMar>
              <w:top w:type="dxa" w:w="45"/>
              <w:left w:type="dxa" w:w="0"/>
              <w:bottom w:type="dxa" w:w="45"/>
              <w:right w:type="dxa" w:w="80"/>
            </w:tcMar>
            <w:vAlign w:val="bottom"/>
          </w:tcPr>
          <w:p>
            <w:r>
              <w:rPr>
                <w:rFonts w:ascii="Jost" w:cs="Jost" w:eastAsia="Jost" w:hAnsi="Jost"/>
                <w:b w:val="false"/>
                <w:bCs w:val="false"/>
                <w:color w:val="9B9488"/>
                <w:spacing w:val="14"/>
                <w:sz w:val="14"/>
                <w:szCs w:val="14"/>
              </w:rPr>
              <w:t xml:space="preserve">DATE</w:t>
            </w:r>
          </w:p>
        </w:tc>
        <w:tc>
          <w:tcPr>
            <w:tcW w:type="dxa" w:w="7160"/>
            <w:tcBorders>
              <w:top w:val="none" w:color="FFFFFF" w:sz="0"/>
              <w:left w:val="none" w:color="FFFFFF" w:sz="0"/>
              <w:bottom w:val="single" w:color="D8D2C8" w:sz="4"/>
              <w:right w:val="none" w:color="FFFFFF" w:sz="0"/>
            </w:tcBorders>
            <w:tcMar>
              <w:top w:type="dxa" w:w="45"/>
              <w:left w:type="dxa" w:w="40"/>
              <w:bottom w:type="dxa" w:w="45"/>
              <w:right w:type="dxa" w:w="0"/>
            </w:tcMar>
            <w:vAlign w:val="bottom"/>
          </w:tcPr>
          <w:p>
            <w:r>
              <w:rPr>
                <w:rFonts w:ascii="EB Garamond" w:cs="EB Garamond" w:eastAsia="EB Garamond" w:hAnsi="EB Garamond"/>
                <w:color w:val="1E1A17"/>
                <w:sz w:val="21"/>
                <w:szCs w:val="21"/>
              </w:rPr>
              <w:t xml:space="preserve"> </w:t>
            </w:r>
          </w:p>
        </w:tc>
      </w:tr>
      <w:tr>
        <w:tc>
          <w:tcPr>
            <w:tcW w:type="dxa" w:w="2200"/>
            <w:tcBorders>
              <w:top w:val="none" w:color="FFFFFF" w:sz="0"/>
              <w:left w:val="none" w:color="FFFFFF" w:sz="0"/>
              <w:bottom w:val="none" w:color="FFFFFF" w:sz="0"/>
              <w:right w:val="none" w:color="FFFFFF" w:sz="0"/>
            </w:tcBorders>
            <w:tcMar>
              <w:top w:type="dxa" w:w="45"/>
              <w:left w:type="dxa" w:w="0"/>
              <w:bottom w:type="dxa" w:w="45"/>
              <w:right w:type="dxa" w:w="80"/>
            </w:tcMar>
            <w:vAlign w:val="bottom"/>
          </w:tcPr>
          <w:p>
            <w:r>
              <w:rPr>
                <w:rFonts w:ascii="Jost" w:cs="Jost" w:eastAsia="Jost" w:hAnsi="Jost"/>
                <w:b w:val="false"/>
                <w:bCs w:val="false"/>
                <w:color w:val="9B9488"/>
                <w:spacing w:val="14"/>
                <w:sz w:val="14"/>
                <w:szCs w:val="14"/>
              </w:rPr>
              <w:t xml:space="preserve">PROJECT / JOB ADDRESS</w:t>
            </w:r>
          </w:p>
        </w:tc>
        <w:tc>
          <w:tcPr>
            <w:tcW w:type="dxa" w:w="7160"/>
            <w:tcBorders>
              <w:top w:val="none" w:color="FFFFFF" w:sz="0"/>
              <w:left w:val="none" w:color="FFFFFF" w:sz="0"/>
              <w:bottom w:val="single" w:color="D8D2C8" w:sz="4"/>
              <w:right w:val="none" w:color="FFFFFF" w:sz="0"/>
            </w:tcBorders>
            <w:tcMar>
              <w:top w:type="dxa" w:w="45"/>
              <w:left w:type="dxa" w:w="40"/>
              <w:bottom w:type="dxa" w:w="45"/>
              <w:right w:type="dxa" w:w="0"/>
            </w:tcMar>
            <w:vAlign w:val="bottom"/>
          </w:tcPr>
          <w:p>
            <w:r>
              <w:rPr>
                <w:rFonts w:ascii="EB Garamond" w:cs="EB Garamond" w:eastAsia="EB Garamond" w:hAnsi="EB Garamond"/>
                <w:color w:val="1E1A17"/>
                <w:sz w:val="21"/>
                <w:szCs w:val="21"/>
              </w:rPr>
              <w:t xml:space="preserve"> </w:t>
            </w:r>
          </w:p>
        </w:tc>
      </w:tr>
    </w:tbl>
    <w:p>
      <w:pPr>
        <w:pStyle w:val="Heading2"/>
      </w:pPr>
      <w:r>
        <w:rPr>
          <w:rFonts w:ascii="Cormorant Garamond" w:cs="Cormorant Garamond" w:eastAsia="Cormorant Garamond" w:hAnsi="Cormorant Garamond"/>
          <w:color w:val="4A5944"/>
          <w:sz w:val="26"/>
          <w:szCs w:val="26"/>
        </w:rPr>
        <w:t xml:space="preserve">1. Parties</w:t>
      </w:r>
    </w:p>
    <w:p>
      <w:pPr>
        <w:spacing w:after="160"/>
      </w:pPr>
      <w:r>
        <w:rPr>
          <w:rFonts w:ascii="EB Garamond" w:cs="EB Garamond" w:eastAsia="EB Garamond" w:hAnsi="EB Garamond"/>
          <w:b w:val="false"/>
          <w:bCs w:val="false"/>
          <w:i w:val="false"/>
          <w:iCs w:val="false"/>
          <w:color w:val="1E1A17"/>
          <w:sz w:val="21"/>
          <w:szCs w:val="21"/>
        </w:rPr>
        <w:t xml:space="preserve">This Construction Contract (“Agreement”) is entered into between SJ Carpentry LLC (“Contractor”), 57 Center Rd, Circle Pines, MN 55014, and the client named below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5"/>
              <w:left w:type="dxa" w:w="0"/>
              <w:bottom w:type="dxa" w:w="45"/>
              <w:right w:type="dxa" w:w="80"/>
            </w:tcMar>
            <w:vAlign w:val="bottom"/>
          </w:tcPr>
          <w:p>
            <w:r>
              <w:rPr>
                <w:rFonts w:ascii="Jost" w:cs="Jost" w:eastAsia="Jost" w:hAnsi="Jost"/>
                <w:b w:val="false"/>
                <w:bCs w:val="false"/>
                <w:color w:val="9B9488"/>
                <w:spacing w:val="14"/>
                <w:sz w:val="14"/>
                <w:szCs w:val="14"/>
              </w:rPr>
              <w:t xml:space="preserve">CLIENT NAME</w:t>
            </w:r>
          </w:p>
        </w:tc>
        <w:tc>
          <w:tcPr>
            <w:tcW w:type="dxa" w:w="7160"/>
            <w:tcBorders>
              <w:top w:val="none" w:color="FFFFFF" w:sz="0"/>
              <w:left w:val="none" w:color="FFFFFF" w:sz="0"/>
              <w:bottom w:val="single" w:color="D8D2C8" w:sz="4"/>
              <w:right w:val="none" w:color="FFFFFF" w:sz="0"/>
            </w:tcBorders>
            <w:tcMar>
              <w:top w:type="dxa" w:w="45"/>
              <w:left w:type="dxa" w:w="40"/>
              <w:bottom w:type="dxa" w:w="45"/>
              <w:right w:type="dxa" w:w="0"/>
            </w:tcMar>
            <w:vAlign w:val="bottom"/>
          </w:tcPr>
          <w:p>
            <w:r>
              <w:rPr>
                <w:rFonts w:ascii="EB Garamond" w:cs="EB Garamond" w:eastAsia="EB Garamond" w:hAnsi="EB Garamond"/>
                <w:color w:val="1E1A17"/>
                <w:sz w:val="21"/>
                <w:szCs w:val="21"/>
              </w:rPr>
              <w:t xml:space="preserve"> </w:t>
            </w:r>
          </w:p>
        </w:tc>
      </w:tr>
      <w:tr>
        <w:tc>
          <w:tcPr>
            <w:tcW w:type="dxa" w:w="2200"/>
            <w:tcBorders>
              <w:top w:val="none" w:color="FFFFFF" w:sz="0"/>
              <w:left w:val="none" w:color="FFFFFF" w:sz="0"/>
              <w:bottom w:val="none" w:color="FFFFFF" w:sz="0"/>
              <w:right w:val="none" w:color="FFFFFF" w:sz="0"/>
            </w:tcBorders>
            <w:tcMar>
              <w:top w:type="dxa" w:w="45"/>
              <w:left w:type="dxa" w:w="0"/>
              <w:bottom w:type="dxa" w:w="45"/>
              <w:right w:type="dxa" w:w="80"/>
            </w:tcMar>
            <w:vAlign w:val="bottom"/>
          </w:tcPr>
          <w:p>
            <w:r>
              <w:rPr>
                <w:rFonts w:ascii="Jost" w:cs="Jost" w:eastAsia="Jost" w:hAnsi="Jost"/>
                <w:b w:val="false"/>
                <w:bCs w:val="false"/>
                <w:color w:val="9B9488"/>
                <w:spacing w:val="14"/>
                <w:sz w:val="14"/>
                <w:szCs w:val="14"/>
              </w:rPr>
              <w:t xml:space="preserve">MAILING ADDRESS</w:t>
            </w:r>
          </w:p>
        </w:tc>
        <w:tc>
          <w:tcPr>
            <w:tcW w:type="dxa" w:w="7160"/>
            <w:tcBorders>
              <w:top w:val="none" w:color="FFFFFF" w:sz="0"/>
              <w:left w:val="none" w:color="FFFFFF" w:sz="0"/>
              <w:bottom w:val="single" w:color="D8D2C8" w:sz="4"/>
              <w:right w:val="none" w:color="FFFFFF" w:sz="0"/>
            </w:tcBorders>
            <w:tcMar>
              <w:top w:type="dxa" w:w="45"/>
              <w:left w:type="dxa" w:w="40"/>
              <w:bottom w:type="dxa" w:w="45"/>
              <w:right w:type="dxa" w:w="0"/>
            </w:tcMar>
            <w:vAlign w:val="bottom"/>
          </w:tcPr>
          <w:p>
            <w:r>
              <w:rPr>
                <w:rFonts w:ascii="EB Garamond" w:cs="EB Garamond" w:eastAsia="EB Garamond" w:hAnsi="EB Garamond"/>
                <w:color w:val="1E1A17"/>
                <w:sz w:val="21"/>
                <w:szCs w:val="21"/>
              </w:rPr>
              <w:t xml:space="preserve"> </w:t>
            </w:r>
          </w:p>
        </w:tc>
      </w:tr>
      <w:tr>
        <w:tc>
          <w:tcPr>
            <w:tcW w:type="dxa" w:w="2200"/>
            <w:tcBorders>
              <w:top w:val="none" w:color="FFFFFF" w:sz="0"/>
              <w:left w:val="none" w:color="FFFFFF" w:sz="0"/>
              <w:bottom w:val="none" w:color="FFFFFF" w:sz="0"/>
              <w:right w:val="none" w:color="FFFFFF" w:sz="0"/>
            </w:tcBorders>
            <w:tcMar>
              <w:top w:type="dxa" w:w="45"/>
              <w:left w:type="dxa" w:w="0"/>
              <w:bottom w:type="dxa" w:w="45"/>
              <w:right w:type="dxa" w:w="80"/>
            </w:tcMar>
            <w:vAlign w:val="bottom"/>
          </w:tcPr>
          <w:p>
            <w:r>
              <w:rPr>
                <w:rFonts w:ascii="Jost" w:cs="Jost" w:eastAsia="Jost" w:hAnsi="Jost"/>
                <w:b w:val="false"/>
                <w:bCs w:val="false"/>
                <w:color w:val="9B9488"/>
                <w:spacing w:val="14"/>
                <w:sz w:val="14"/>
                <w:szCs w:val="14"/>
              </w:rPr>
              <w:t xml:space="preserve">PHONE / EMAIL</w:t>
            </w:r>
          </w:p>
        </w:tc>
        <w:tc>
          <w:tcPr>
            <w:tcW w:type="dxa" w:w="7160"/>
            <w:tcBorders>
              <w:top w:val="none" w:color="FFFFFF" w:sz="0"/>
              <w:left w:val="none" w:color="FFFFFF" w:sz="0"/>
              <w:bottom w:val="single" w:color="D8D2C8" w:sz="4"/>
              <w:right w:val="none" w:color="FFFFFF" w:sz="0"/>
            </w:tcBorders>
            <w:tcMar>
              <w:top w:type="dxa" w:w="45"/>
              <w:left w:type="dxa" w:w="40"/>
              <w:bottom w:type="dxa" w:w="45"/>
              <w:right w:type="dxa" w:w="0"/>
            </w:tcMar>
            <w:vAlign w:val="bottom"/>
          </w:tcPr>
          <w:p>
            <w:r>
              <w:rPr>
                <w:rFonts w:ascii="EB Garamond" w:cs="EB Garamond" w:eastAsia="EB Garamond" w:hAnsi="EB Garamond"/>
                <w:color w:val="1E1A17"/>
                <w:sz w:val="21"/>
                <w:szCs w:val="21"/>
              </w:rPr>
              <w:t xml:space="preserve"> </w:t>
            </w:r>
          </w:p>
        </w:tc>
      </w:tr>
    </w:tbl>
    <w:p>
      <w:pPr>
        <w:pStyle w:val="Heading2"/>
      </w:pPr>
      <w:r>
        <w:rPr>
          <w:rFonts w:ascii="Cormorant Garamond" w:cs="Cormorant Garamond" w:eastAsia="Cormorant Garamond" w:hAnsi="Cormorant Garamond"/>
          <w:color w:val="4A5944"/>
          <w:sz w:val="26"/>
          <w:szCs w:val="26"/>
        </w:rPr>
        <w:t xml:space="preserve">2. Scope of Work</w:t>
      </w:r>
    </w:p>
    <w:p>
      <w:pPr>
        <w:spacing w:after="160"/>
      </w:pPr>
      <w:r>
        <w:rPr>
          <w:rFonts w:ascii="EB Garamond" w:cs="EB Garamond" w:eastAsia="EB Garamond" w:hAnsi="EB Garamond"/>
          <w:b w:val="false"/>
          <w:bCs w:val="false"/>
          <w:i w:val="false"/>
          <w:iCs w:val="false"/>
          <w:color w:val="1E1A17"/>
          <w:sz w:val="21"/>
          <w:szCs w:val="21"/>
        </w:rPr>
        <w:t xml:space="preserve">Contractor agrees to furnish all labor, materials, and supervision necessary to complete the work described in the attached Scope of Work (SOW), which is incorporated into this Agreement by reference. Any work not described in the SOW is outside the scope of this Agreement and requires a written Change Order.</w:t>
      </w:r>
    </w:p>
    <w:p>
      <w:pPr>
        <w:pStyle w:val="Heading2"/>
      </w:pPr>
      <w:r>
        <w:rPr>
          <w:rFonts w:ascii="Cormorant Garamond" w:cs="Cormorant Garamond" w:eastAsia="Cormorant Garamond" w:hAnsi="Cormorant Garamond"/>
          <w:color w:val="4A5944"/>
          <w:sz w:val="26"/>
          <w:szCs w:val="26"/>
        </w:rPr>
        <w:t xml:space="preserve">3. Contract Price &amp; Payment Schedule</w:t>
      </w:r>
    </w:p>
    <w:p>
      <w:pPr>
        <w:spacing w:after="160"/>
      </w:pPr>
      <w:r>
        <w:rPr>
          <w:rFonts w:ascii="EB Garamond" w:cs="EB Garamond" w:eastAsia="EB Garamond" w:hAnsi="EB Garamond"/>
          <w:b w:val="false"/>
          <w:bCs w:val="false"/>
          <w:i w:val="false"/>
          <w:iCs w:val="false"/>
          <w:color w:val="1E1A17"/>
          <w:sz w:val="21"/>
          <w:szCs w:val="21"/>
        </w:rPr>
        <w:t xml:space="preserve">The total contract price, and the milestone schedule under which it is invoiced, are set out below. SJ Carpentry uses a retainer-based payment model — a single retainer invoice is issued at signing, with each milestone billed as a separate draw within that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2000"/>
        <w:gridCol w:w="2100"/>
      </w:tblGrid>
      <w:tr>
        <w:trPr>
          <w:tblHeader/>
        </w:trPr>
        <w:tc>
          <w:tcPr>
            <w:tcW w:type="dxa" w:w="1700"/>
            <w:tcBorders>
              <w:top w:val="single" w:color="D8D2C8" w:sz="2"/>
              <w:left w:val="single" w:color="D8D2C8" w:sz="2"/>
              <w:bottom w:val="single" w:color="D8D2C8" w:sz="2"/>
              <w:right w:val="single" w:color="D8D2C8" w:sz="2"/>
            </w:tcBorders>
            <w:shd w:fill="4A5944" w:color="auto" w:val="clear"/>
            <w:tcMar>
              <w:top w:type="dxa" w:w="65"/>
              <w:left w:type="dxa" w:w="120"/>
              <w:bottom w:type="dxa" w:w="65"/>
              <w:right w:type="dxa" w:w="120"/>
            </w:tcMar>
            <w:vAlign w:val="center"/>
          </w:tcPr>
          <w:p>
            <w:pPr>
              <w:jc w:val="left"/>
            </w:pPr>
            <w:r>
              <w:rPr>
                <w:rFonts w:ascii="Jost" w:cs="Jost" w:eastAsia="Jost" w:hAnsi="Jost"/>
                <w:b/>
                <w:bCs/>
                <w:color w:val="EDE8DF"/>
                <w:spacing w:val="10"/>
                <w:sz w:val="14"/>
                <w:szCs w:val="14"/>
              </w:rPr>
              <w:t xml:space="preserve">MILESTONE</w:t>
            </w:r>
          </w:p>
        </w:tc>
        <w:tc>
          <w:tcPr>
            <w:tcW w:type="dxa" w:w="3560"/>
            <w:tcBorders>
              <w:top w:val="single" w:color="D8D2C8" w:sz="2"/>
              <w:left w:val="single" w:color="D8D2C8" w:sz="2"/>
              <w:bottom w:val="single" w:color="D8D2C8" w:sz="2"/>
              <w:right w:val="single" w:color="D8D2C8" w:sz="2"/>
            </w:tcBorders>
            <w:shd w:fill="4A5944" w:color="auto" w:val="clear"/>
            <w:tcMar>
              <w:top w:type="dxa" w:w="65"/>
              <w:left w:type="dxa" w:w="120"/>
              <w:bottom w:type="dxa" w:w="65"/>
              <w:right w:type="dxa" w:w="120"/>
            </w:tcMar>
            <w:vAlign w:val="center"/>
          </w:tcPr>
          <w:p>
            <w:pPr>
              <w:jc w:val="left"/>
            </w:pPr>
            <w:r>
              <w:rPr>
                <w:rFonts w:ascii="Jost" w:cs="Jost" w:eastAsia="Jost" w:hAnsi="Jost"/>
                <w:b/>
                <w:bCs/>
                <w:color w:val="EDE8DF"/>
                <w:spacing w:val="10"/>
                <w:sz w:val="14"/>
                <w:szCs w:val="14"/>
              </w:rPr>
              <w:t xml:space="preserve">DESCRIPTION</w:t>
            </w:r>
          </w:p>
        </w:tc>
        <w:tc>
          <w:tcPr>
            <w:tcW w:type="dxa" w:w="2000"/>
            <w:tcBorders>
              <w:top w:val="single" w:color="D8D2C8" w:sz="2"/>
              <w:left w:val="single" w:color="D8D2C8" w:sz="2"/>
              <w:bottom w:val="single" w:color="D8D2C8" w:sz="2"/>
              <w:right w:val="single" w:color="D8D2C8" w:sz="2"/>
            </w:tcBorders>
            <w:shd w:fill="4A5944" w:color="auto" w:val="clear"/>
            <w:tcMar>
              <w:top w:type="dxa" w:w="65"/>
              <w:left w:type="dxa" w:w="120"/>
              <w:bottom w:type="dxa" w:w="65"/>
              <w:right w:type="dxa" w:w="120"/>
            </w:tcMar>
            <w:vAlign w:val="center"/>
          </w:tcPr>
          <w:p>
            <w:pPr>
              <w:jc w:val="center"/>
            </w:pPr>
            <w:r>
              <w:rPr>
                <w:rFonts w:ascii="Jost" w:cs="Jost" w:eastAsia="Jost" w:hAnsi="Jost"/>
                <w:b/>
                <w:bCs/>
                <w:color w:val="EDE8DF"/>
                <w:spacing w:val="10"/>
                <w:sz w:val="14"/>
                <w:szCs w:val="14"/>
              </w:rPr>
              <w:t xml:space="preserve">% / AMOUNT</w:t>
            </w:r>
          </w:p>
        </w:tc>
        <w:tc>
          <w:tcPr>
            <w:tcW w:type="dxa" w:w="2100"/>
            <w:tcBorders>
              <w:top w:val="single" w:color="D8D2C8" w:sz="2"/>
              <w:left w:val="single" w:color="D8D2C8" w:sz="2"/>
              <w:bottom w:val="single" w:color="D8D2C8" w:sz="2"/>
              <w:right w:val="single" w:color="D8D2C8" w:sz="2"/>
            </w:tcBorders>
            <w:shd w:fill="4A5944" w:color="auto" w:val="clear"/>
            <w:tcMar>
              <w:top w:type="dxa" w:w="65"/>
              <w:left w:type="dxa" w:w="120"/>
              <w:bottom w:type="dxa" w:w="65"/>
              <w:right w:type="dxa" w:w="120"/>
            </w:tcMar>
            <w:vAlign w:val="center"/>
          </w:tcPr>
          <w:p>
            <w:pPr>
              <w:jc w:val="center"/>
            </w:pPr>
            <w:r>
              <w:rPr>
                <w:rFonts w:ascii="Jost" w:cs="Jost" w:eastAsia="Jost" w:hAnsi="Jost"/>
                <w:b/>
                <w:bCs/>
                <w:color w:val="EDE8DF"/>
                <w:spacing w:val="10"/>
                <w:sz w:val="14"/>
                <w:szCs w:val="14"/>
              </w:rPr>
              <w:t xml:space="preserve">DUE</w:t>
            </w:r>
          </w:p>
        </w:tc>
      </w:tr>
      <w:tr>
        <w:tc>
          <w:tcPr>
            <w:tcW w:type="dxa" w:w="17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Retainer</w:t>
            </w:r>
          </w:p>
        </w:tc>
        <w:tc>
          <w:tcPr>
            <w:tcW w:type="dxa" w:w="356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Due at contract signing</w:t>
            </w:r>
          </w:p>
        </w:tc>
        <w:tc>
          <w:tcPr>
            <w:tcW w:type="dxa" w:w="20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
            </w:r>
          </w:p>
        </w:tc>
        <w:tc>
          <w:tcPr>
            <w:tcW w:type="dxa" w:w="21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At signing</w:t>
            </w:r>
          </w:p>
        </w:tc>
      </w:tr>
      <w:tr>
        <w:tc>
          <w:tcPr>
            <w:tcW w:type="dxa" w:w="1700"/>
            <w:tcBorders>
              <w:top w:val="single" w:color="D8D2C8" w:sz="2"/>
              <w:left w:val="single" w:color="D8D2C8" w:sz="2"/>
              <w:bottom w:val="single" w:color="D8D2C8" w:sz="2"/>
              <w:right w:val="single" w:color="D8D2C8" w:sz="2"/>
            </w:tcBorders>
            <w:shd w:fill="F7F4EE"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Draw 1</w:t>
            </w:r>
          </w:p>
        </w:tc>
        <w:tc>
          <w:tcPr>
            <w:tcW w:type="dxa" w:w="3560"/>
            <w:tcBorders>
              <w:top w:val="single" w:color="D8D2C8" w:sz="2"/>
              <w:left w:val="single" w:color="D8D2C8" w:sz="2"/>
              <w:bottom w:val="single" w:color="D8D2C8" w:sz="2"/>
              <w:right w:val="single" w:color="D8D2C8" w:sz="2"/>
            </w:tcBorders>
            <w:shd w:fill="F7F4EE"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
            </w:r>
          </w:p>
        </w:tc>
        <w:tc>
          <w:tcPr>
            <w:tcW w:type="dxa" w:w="2000"/>
            <w:tcBorders>
              <w:top w:val="single" w:color="D8D2C8" w:sz="2"/>
              <w:left w:val="single" w:color="D8D2C8" w:sz="2"/>
              <w:bottom w:val="single" w:color="D8D2C8" w:sz="2"/>
              <w:right w:val="single" w:color="D8D2C8" w:sz="2"/>
            </w:tcBorders>
            <w:shd w:fill="F7F4EE"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
            </w:r>
          </w:p>
        </w:tc>
        <w:tc>
          <w:tcPr>
            <w:tcW w:type="dxa" w:w="2100"/>
            <w:tcBorders>
              <w:top w:val="single" w:color="D8D2C8" w:sz="2"/>
              <w:left w:val="single" w:color="D8D2C8" w:sz="2"/>
              <w:bottom w:val="single" w:color="D8D2C8" w:sz="2"/>
              <w:right w:val="single" w:color="D8D2C8" w:sz="2"/>
            </w:tcBorders>
            <w:shd w:fill="F7F4EE"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
            </w:r>
          </w:p>
        </w:tc>
      </w:tr>
      <w:tr>
        <w:tc>
          <w:tcPr>
            <w:tcW w:type="dxa" w:w="17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Draw 2</w:t>
            </w:r>
          </w:p>
        </w:tc>
        <w:tc>
          <w:tcPr>
            <w:tcW w:type="dxa" w:w="356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
            </w:r>
          </w:p>
        </w:tc>
        <w:tc>
          <w:tcPr>
            <w:tcW w:type="dxa" w:w="20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
            </w:r>
          </w:p>
        </w:tc>
        <w:tc>
          <w:tcPr>
            <w:tcW w:type="dxa" w:w="21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
            </w:r>
          </w:p>
        </w:tc>
      </w:tr>
      <w:tr>
        <w:tc>
          <w:tcPr>
            <w:tcW w:type="dxa" w:w="1700"/>
            <w:tcBorders>
              <w:top w:val="single" w:color="D8D2C8" w:sz="2"/>
              <w:left w:val="single" w:color="D8D2C8" w:sz="2"/>
              <w:bottom w:val="single" w:color="D8D2C8" w:sz="2"/>
              <w:right w:val="single" w:color="D8D2C8" w:sz="2"/>
            </w:tcBorders>
            <w:shd w:fill="F7F4EE"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Draw 3</w:t>
            </w:r>
          </w:p>
        </w:tc>
        <w:tc>
          <w:tcPr>
            <w:tcW w:type="dxa" w:w="3560"/>
            <w:tcBorders>
              <w:top w:val="single" w:color="D8D2C8" w:sz="2"/>
              <w:left w:val="single" w:color="D8D2C8" w:sz="2"/>
              <w:bottom w:val="single" w:color="D8D2C8" w:sz="2"/>
              <w:right w:val="single" w:color="D8D2C8" w:sz="2"/>
            </w:tcBorders>
            <w:shd w:fill="F7F4EE"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
            </w:r>
          </w:p>
        </w:tc>
        <w:tc>
          <w:tcPr>
            <w:tcW w:type="dxa" w:w="2000"/>
            <w:tcBorders>
              <w:top w:val="single" w:color="D8D2C8" w:sz="2"/>
              <w:left w:val="single" w:color="D8D2C8" w:sz="2"/>
              <w:bottom w:val="single" w:color="D8D2C8" w:sz="2"/>
              <w:right w:val="single" w:color="D8D2C8" w:sz="2"/>
            </w:tcBorders>
            <w:shd w:fill="F7F4EE"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
            </w:r>
          </w:p>
        </w:tc>
        <w:tc>
          <w:tcPr>
            <w:tcW w:type="dxa" w:w="2100"/>
            <w:tcBorders>
              <w:top w:val="single" w:color="D8D2C8" w:sz="2"/>
              <w:left w:val="single" w:color="D8D2C8" w:sz="2"/>
              <w:bottom w:val="single" w:color="D8D2C8" w:sz="2"/>
              <w:right w:val="single" w:color="D8D2C8" w:sz="2"/>
            </w:tcBorders>
            <w:shd w:fill="F7F4EE"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
            </w:r>
          </w:p>
        </w:tc>
      </w:tr>
      <w:tr>
        <w:tc>
          <w:tcPr>
            <w:tcW w:type="dxa" w:w="17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Final</w:t>
            </w:r>
          </w:p>
        </w:tc>
        <w:tc>
          <w:tcPr>
            <w:tcW w:type="dxa" w:w="356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left"/>
            </w:pPr>
            <w:r>
              <w:rPr>
                <w:rFonts w:ascii="EB Garamond" w:cs="EB Garamond" w:eastAsia="EB Garamond" w:hAnsi="EB Garamond"/>
                <w:color w:val="1E1A17"/>
                <w:sz w:val="20"/>
                <w:szCs w:val="20"/>
              </w:rPr>
              <w:t xml:space="preserve">Due at completion / sign-off</w:t>
            </w:r>
          </w:p>
        </w:tc>
        <w:tc>
          <w:tcPr>
            <w:tcW w:type="dxa" w:w="20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
            </w:r>
          </w:p>
        </w:tc>
        <w:tc>
          <w:tcPr>
            <w:tcW w:type="dxa" w:w="2100"/>
            <w:tcBorders>
              <w:top w:val="single" w:color="D8D2C8" w:sz="2"/>
              <w:left w:val="single" w:color="D8D2C8" w:sz="2"/>
              <w:bottom w:val="single" w:color="D8D2C8" w:sz="2"/>
              <w:right w:val="single" w:color="D8D2C8" w:sz="2"/>
            </w:tcBorders>
            <w:shd w:fill="FFFFFF" w:color="auto" w:val="clear"/>
            <w:tcMar>
              <w:top w:type="dxa" w:w="65"/>
              <w:left w:type="dxa" w:w="120"/>
              <w:bottom w:type="dxa" w:w="65"/>
              <w:right w:type="dxa" w:w="120"/>
            </w:tcMar>
            <w:vAlign w:val="center"/>
          </w:tcPr>
          <w:p>
            <w:pPr>
              <w:jc w:val="center"/>
            </w:pPr>
            <w:r>
              <w:rPr>
                <w:rFonts w:ascii="EB Garamond" w:cs="EB Garamond" w:eastAsia="EB Garamond" w:hAnsi="EB Garamond"/>
                <w:color w:val="1E1A17"/>
                <w:sz w:val="20"/>
                <w:szCs w:val="20"/>
              </w:rPr>
              <w:t xml:space="preserve">At closeout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c>
          <w:tcPr>
            <w:tcW w:type="dxa" w:w="6739"/>
            <w:tcBorders>
              <w:top w:val="none" w:color="FFFFFF" w:sz="0"/>
              <w:left w:val="none" w:color="FFFFFF" w:sz="0"/>
              <w:bottom w:val="none" w:color="FFFFFF" w:sz="0"/>
              <w:right w:val="none" w:color="FFFFFF" w:sz="0"/>
            </w:tcBorders>
            <w:tcMar>
              <w:top w:type="dxa" w:w="45"/>
              <w:left w:type="dxa" w:w="0"/>
              <w:bottom w:type="dxa" w:w="45"/>
              <w:right w:type="dxa" w:w="0"/>
            </w:tcMar>
          </w:tcPr>
          <w:p>
            <w:pPr>
              <w:jc w:val="right"/>
            </w:pPr>
            <w:r>
              <w:rPr>
                <w:rFonts w:ascii="Cormorant Garamond" w:cs="Cormorant Garamond" w:eastAsia="Cormorant Garamond" w:hAnsi="Cormorant Garamond"/>
                <w:b/>
                <w:bCs/>
                <w:color w:val="4A5944"/>
                <w:sz w:val="26"/>
                <w:szCs w:val="26"/>
              </w:rPr>
              <w:t xml:space="preserve">Total Contract Price</w:t>
            </w:r>
          </w:p>
        </w:tc>
        <w:tc>
          <w:tcPr>
            <w:tcW w:type="dxa" w:w="2621"/>
            <w:tcBorders>
              <w:top w:val="single" w:color="4A5944" w:sz="6"/>
              <w:left w:val="none" w:color="FFFFFF" w:sz="0"/>
              <w:bottom w:val="none" w:color="FFFFFF" w:sz="0"/>
              <w:right w:val="none" w:color="FFFFFF" w:sz="0"/>
            </w:tcBorders>
            <w:tcMar>
              <w:top w:type="dxa" w:w="45"/>
              <w:left w:type="dxa" w:w="0"/>
              <w:bottom w:type="dxa" w:w="45"/>
              <w:right w:type="dxa" w:w="0"/>
            </w:tcMar>
          </w:tcPr>
          <w:p>
            <w:pPr>
              <w:jc w:val="right"/>
            </w:pPr>
            <w:r>
              <w:rPr>
                <w:rFonts w:ascii="Cormorant Garamond" w:cs="Cormorant Garamond" w:eastAsia="Cormorant Garamond" w:hAnsi="Cormorant Garamond"/>
                <w:b/>
                <w:bCs/>
                <w:color w:val="4A5944"/>
                <w:sz w:val="26"/>
                <w:szCs w:val="26"/>
              </w:rPr>
              <w:t xml:space="preserve"/>
            </w:r>
          </w:p>
        </w:tc>
      </w:tr>
    </w:tbl>
    <w:p>
      <w:pPr>
        <w:pStyle w:val="ListParagraph"/>
        <w:numPr>
          <w:ilvl w:val="0"/>
          <w:numId w:val="2"/>
        </w:numPr>
        <w:spacing w:after="80"/>
      </w:pPr>
      <w:r>
        <w:rPr>
          <w:rFonts w:ascii="EB Garamond" w:cs="EB Garamond" w:eastAsia="EB Garamond" w:hAnsi="EB Garamond"/>
          <w:color w:val="1E1A17"/>
          <w:sz w:val="21"/>
          <w:szCs w:val="21"/>
        </w:rPr>
        <w:t xml:space="preserve">Invoices are due Net 7 — within 7 days of the invoice date.</w:t>
      </w:r>
    </w:p>
    <w:p>
      <w:pPr>
        <w:pStyle w:val="ListParagraph"/>
        <w:numPr>
          <w:ilvl w:val="0"/>
          <w:numId w:val="2"/>
        </w:numPr>
        <w:spacing w:after="80"/>
      </w:pPr>
      <w:r>
        <w:rPr>
          <w:rFonts w:ascii="EB Garamond" w:cs="EB Garamond" w:eastAsia="EB Garamond" w:hAnsi="EB Garamond"/>
          <w:color w:val="1E1A17"/>
          <w:sz w:val="21"/>
          <w:szCs w:val="21"/>
        </w:rPr>
        <w:t xml:space="preserve">Milestone invoices are issued as each milestone is reached and confirmed.</w:t>
      </w:r>
    </w:p>
    <w:p>
      <w:pPr>
        <w:pStyle w:val="ListParagraph"/>
        <w:numPr>
          <w:ilvl w:val="0"/>
          <w:numId w:val="2"/>
        </w:numPr>
        <w:spacing w:after="80"/>
      </w:pPr>
      <w:r>
        <w:rPr>
          <w:rFonts w:ascii="EB Garamond" w:cs="EB Garamond" w:eastAsia="EB Garamond" w:hAnsi="EB Garamond"/>
          <w:color w:val="1E1A17"/>
          <w:sz w:val="21"/>
          <w:szCs w:val="21"/>
        </w:rPr>
        <w:t xml:space="preserve">If a payment becomes more than 7 days past due, Contractor may pause work until the account is current.</w:t>
      </w:r>
    </w:p>
    <w:p>
      <w:pPr>
        <w:pStyle w:val="Heading2"/>
      </w:pPr>
      <w:r>
        <w:rPr>
          <w:rFonts w:ascii="Cormorant Garamond" w:cs="Cormorant Garamond" w:eastAsia="Cormorant Garamond" w:hAnsi="Cormorant Garamond"/>
          <w:color w:val="4A5944"/>
          <w:sz w:val="26"/>
          <w:szCs w:val="26"/>
        </w:rPr>
        <w:t xml:space="preserve">4.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5"/>
              <w:left w:type="dxa" w:w="0"/>
              <w:bottom w:type="dxa" w:w="45"/>
              <w:right w:type="dxa" w:w="80"/>
            </w:tcMar>
            <w:vAlign w:val="bottom"/>
          </w:tcPr>
          <w:p>
            <w:r>
              <w:rPr>
                <w:rFonts w:ascii="Jost" w:cs="Jost" w:eastAsia="Jost" w:hAnsi="Jost"/>
                <w:b w:val="false"/>
                <w:bCs w:val="false"/>
                <w:color w:val="9B9488"/>
                <w:spacing w:val="14"/>
                <w:sz w:val="14"/>
                <w:szCs w:val="14"/>
              </w:rPr>
              <w:t xml:space="preserve">ESTIMATED START DATE</w:t>
            </w:r>
          </w:p>
        </w:tc>
        <w:tc>
          <w:tcPr>
            <w:tcW w:type="dxa" w:w="7160"/>
            <w:tcBorders>
              <w:top w:val="none" w:color="FFFFFF" w:sz="0"/>
              <w:left w:val="none" w:color="FFFFFF" w:sz="0"/>
              <w:bottom w:val="single" w:color="D8D2C8" w:sz="4"/>
              <w:right w:val="none" w:color="FFFFFF" w:sz="0"/>
            </w:tcBorders>
            <w:tcMar>
              <w:top w:type="dxa" w:w="45"/>
              <w:left w:type="dxa" w:w="40"/>
              <w:bottom w:type="dxa" w:w="45"/>
              <w:right w:type="dxa" w:w="0"/>
            </w:tcMar>
            <w:vAlign w:val="bottom"/>
          </w:tcPr>
          <w:p>
            <w:r>
              <w:rPr>
                <w:rFonts w:ascii="EB Garamond" w:cs="EB Garamond" w:eastAsia="EB Garamond" w:hAnsi="EB Garamond"/>
                <w:color w:val="1E1A17"/>
                <w:sz w:val="21"/>
                <w:szCs w:val="21"/>
              </w:rPr>
              <w:t xml:space="preserve"> </w:t>
            </w:r>
          </w:p>
        </w:tc>
      </w:tr>
      <w:tr>
        <w:tc>
          <w:tcPr>
            <w:tcW w:type="dxa" w:w="2200"/>
            <w:tcBorders>
              <w:top w:val="none" w:color="FFFFFF" w:sz="0"/>
              <w:left w:val="none" w:color="FFFFFF" w:sz="0"/>
              <w:bottom w:val="none" w:color="FFFFFF" w:sz="0"/>
              <w:right w:val="none" w:color="FFFFFF" w:sz="0"/>
            </w:tcBorders>
            <w:tcMar>
              <w:top w:type="dxa" w:w="45"/>
              <w:left w:type="dxa" w:w="0"/>
              <w:bottom w:type="dxa" w:w="45"/>
              <w:right w:type="dxa" w:w="80"/>
            </w:tcMar>
            <w:vAlign w:val="bottom"/>
          </w:tcPr>
          <w:p>
            <w:r>
              <w:rPr>
                <w:rFonts w:ascii="Jost" w:cs="Jost" w:eastAsia="Jost" w:hAnsi="Jost"/>
                <w:b w:val="false"/>
                <w:bCs w:val="false"/>
                <w:color w:val="9B9488"/>
                <w:spacing w:val="14"/>
                <w:sz w:val="14"/>
                <w:szCs w:val="14"/>
              </w:rPr>
              <w:t xml:space="preserve">ESTIMATED COMPLETION DATE</w:t>
            </w:r>
          </w:p>
        </w:tc>
        <w:tc>
          <w:tcPr>
            <w:tcW w:type="dxa" w:w="7160"/>
            <w:tcBorders>
              <w:top w:val="none" w:color="FFFFFF" w:sz="0"/>
              <w:left w:val="none" w:color="FFFFFF" w:sz="0"/>
              <w:bottom w:val="single" w:color="D8D2C8" w:sz="4"/>
              <w:right w:val="none" w:color="FFFFFF" w:sz="0"/>
            </w:tcBorders>
            <w:tcMar>
              <w:top w:type="dxa" w:w="45"/>
              <w:left w:type="dxa" w:w="40"/>
              <w:bottom w:type="dxa" w:w="45"/>
              <w:right w:type="dxa" w:w="0"/>
            </w:tcMar>
            <w:vAlign w:val="bottom"/>
          </w:tcPr>
          <w:p>
            <w:r>
              <w:rPr>
                <w:rFonts w:ascii="EB Garamond" w:cs="EB Garamond" w:eastAsia="EB Garamond" w:hAnsi="EB Garamond"/>
                <w:color w:val="1E1A17"/>
                <w:sz w:val="21"/>
                <w:szCs w:val="21"/>
              </w:rPr>
              <w:t xml:space="preserve"> </w:t>
            </w:r>
          </w:p>
        </w:tc>
      </w:tr>
    </w:tbl>
    <w:p>
      <w:pPr>
        <w:spacing w:after="160"/>
      </w:pPr>
      <w:r>
        <w:rPr>
          <w:rFonts w:ascii="EB Garamond" w:cs="EB Garamond" w:eastAsia="EB Garamond" w:hAnsi="EB Garamond"/>
          <w:b w:val="false"/>
          <w:bCs w:val="false"/>
          <w:i w:val="false"/>
          <w:iCs w:val="false"/>
          <w:color w:val="1E1A17"/>
          <w:sz w:val="21"/>
          <w:szCs w:val="21"/>
        </w:rPr>
        <w:t xml:space="preserve">Dates are estimates based on information available at signing. Timelines may be affected by permitting, weather, material lead times, unforeseen site conditions, or client decision delays; Contractor will communicate any material schedule impact as soon as it is known.</w:t>
      </w:r>
    </w:p>
    <w:p>
      <w:pPr>
        <w:pStyle w:val="Heading2"/>
      </w:pPr>
      <w:r>
        <w:rPr>
          <w:rFonts w:ascii="Cormorant Garamond" w:cs="Cormorant Garamond" w:eastAsia="Cormorant Garamond" w:hAnsi="Cormorant Garamond"/>
          <w:color w:val="4A5944"/>
          <w:sz w:val="26"/>
          <w:szCs w:val="26"/>
        </w:rPr>
        <w:t xml:space="preserve">5. Change Orders</w:t>
      </w:r>
    </w:p>
    <w:p>
      <w:pPr>
        <w:spacing w:after="160"/>
      </w:pPr>
      <w:r>
        <w:rPr>
          <w:rFonts w:ascii="EB Garamond" w:cs="EB Garamond" w:eastAsia="EB Garamond" w:hAnsi="EB Garamond"/>
          <w:b w:val="false"/>
          <w:bCs w:val="false"/>
          <w:i w:val="false"/>
          <w:iCs w:val="false"/>
          <w:color w:val="1E1A17"/>
          <w:sz w:val="21"/>
          <w:szCs w:val="21"/>
        </w:rPr>
        <w:t xml:space="preserve">Any change to the scope, price, or timeline described in this Agreement — whether requested by Client or required by unforeseen conditions — must be documented in a written Change Order, signed by both parties, before the additional work begins. Verbal approval is not sufficient under any circumstance. A Change Order deposit is required per SJ Carpentry’s standard Change Order policy, and any remaining CO balance is added to the final invoice unless otherwise noted.</w:t>
      </w:r>
    </w:p>
    <w:p>
      <w:pPr>
        <w:pStyle w:val="Heading2"/>
      </w:pPr>
      <w:r>
        <w:rPr>
          <w:rFonts w:ascii="Cormorant Garamond" w:cs="Cormorant Garamond" w:eastAsia="Cormorant Garamond" w:hAnsi="Cormorant Garamond"/>
          <w:color w:val="4A5944"/>
          <w:sz w:val="26"/>
          <w:szCs w:val="26"/>
        </w:rPr>
        <w:t xml:space="preserve">6. Materials &amp; Selections</w:t>
      </w:r>
    </w:p>
    <w:p>
      <w:pPr>
        <w:spacing w:after="160"/>
      </w:pPr>
      <w:r>
        <w:rPr>
          <w:rFonts w:ascii="EB Garamond" w:cs="EB Garamond" w:eastAsia="EB Garamond" w:hAnsi="EB Garamond"/>
          <w:b w:val="false"/>
          <w:bCs w:val="false"/>
          <w:i w:val="false"/>
          <w:iCs w:val="false"/>
          <w:color w:val="1E1A17"/>
          <w:sz w:val="21"/>
          <w:szCs w:val="21"/>
        </w:rPr>
        <w:t xml:space="preserve">Unless otherwise noted in the SOW, Contractor is responsible for ordering and procuring all materials required to complete the scope of work. Client is responsible for making all required material and finish selections by the date(s) requested by Contractor; delays in selections may extend the project timeline. Materials supplied directly by Client, if any, are listed below.</w:t>
      </w:r>
    </w:p>
    <w:p>
      <w:pPr>
        <w:pBdr>
          <w:bottom w:val="single" w:color="D8D2C8" w:sz="4" w:space="4"/>
        </w:pBdr>
        <w:spacing w:after="0" w:before="200"/>
      </w:pPr>
      <w:r>
        <w:rPr>
          <w:rFonts w:ascii="EB Garamond" w:cs="EB Garamond" w:eastAsia="EB Garamond" w:hAnsi="EB Garamond"/>
          <w:sz w:val="21"/>
          <w:szCs w:val="21"/>
        </w:rPr>
        <w:t xml:space="preserve"> </w:t>
      </w:r>
    </w:p>
    <w:p>
      <w:pPr>
        <w:pBdr>
          <w:bottom w:val="single" w:color="D8D2C8" w:sz="4" w:space="4"/>
        </w:pBdr>
        <w:spacing w:after="0" w:before="200"/>
      </w:pPr>
      <w:r>
        <w:rPr>
          <w:rFonts w:ascii="EB Garamond" w:cs="EB Garamond" w:eastAsia="EB Garamond" w:hAnsi="EB Garamond"/>
          <w:sz w:val="21"/>
          <w:szCs w:val="21"/>
        </w:rPr>
        <w:t xml:space="preserve"> </w:t>
      </w:r>
    </w:p>
    <w:p>
      <w:pPr>
        <w:pStyle w:val="Heading2"/>
      </w:pPr>
      <w:r>
        <w:rPr>
          <w:rFonts w:ascii="Cormorant Garamond" w:cs="Cormorant Garamond" w:eastAsia="Cormorant Garamond" w:hAnsi="Cormorant Garamond"/>
          <w:color w:val="4A5944"/>
          <w:sz w:val="26"/>
          <w:szCs w:val="26"/>
        </w:rPr>
        <w:t xml:space="preserve">7. Warranty</w:t>
      </w:r>
    </w:p>
    <w:p>
      <w:pPr>
        <w:spacing w:after="160"/>
      </w:pPr>
      <w:r>
        <w:rPr>
          <w:rFonts w:ascii="EB Garamond" w:cs="EB Garamond" w:eastAsia="EB Garamond" w:hAnsi="EB Garamond"/>
          <w:b w:val="false"/>
          <w:bCs w:val="false"/>
          <w:i w:val="false"/>
          <w:iCs w:val="false"/>
          <w:color w:val="1E1A17"/>
          <w:sz w:val="21"/>
          <w:szCs w:val="21"/>
        </w:rPr>
        <w:t xml:space="preserve">Contractor warrants its workmanship to be free of defects for a period of one (1) year from the date of substantial completion, unless a longer period is specified in writing. This warranty covers labor and installation only; manufacturer warranties on materials, fixtures, and appliances are passed through to Client and are the responsibility of the respective manufacturer.</w:t>
      </w:r>
    </w:p>
    <w:p>
      <w:pPr>
        <w:pStyle w:val="Heading2"/>
      </w:pPr>
      <w:r>
        <w:rPr>
          <w:rFonts w:ascii="Cormorant Garamond" w:cs="Cormorant Garamond" w:eastAsia="Cormorant Garamond" w:hAnsi="Cormorant Garamond"/>
          <w:color w:val="4A5944"/>
          <w:sz w:val="26"/>
          <w:szCs w:val="26"/>
        </w:rPr>
        <w:t xml:space="preserve">8. Insurance &amp; Licensing</w:t>
      </w:r>
    </w:p>
    <w:p>
      <w:pPr>
        <w:spacing w:after="160"/>
      </w:pPr>
      <w:r>
        <w:rPr>
          <w:rFonts w:ascii="EB Garamond" w:cs="EB Garamond" w:eastAsia="EB Garamond" w:hAnsi="EB Garamond"/>
          <w:b w:val="false"/>
          <w:bCs w:val="false"/>
          <w:i w:val="false"/>
          <w:iCs w:val="false"/>
          <w:color w:val="1E1A17"/>
          <w:sz w:val="21"/>
          <w:szCs w:val="21"/>
        </w:rPr>
        <w:t xml:space="preserve">Contractor maintains general liability insurance and, where applicable, workers’ compensation coverage for its crews and subcontractors. Proof of insurance is available to Client upon request.</w:t>
      </w:r>
    </w:p>
    <w:p>
      <w:pPr>
        <w:pStyle w:val="Heading2"/>
      </w:pPr>
      <w:r>
        <w:rPr>
          <w:rFonts w:ascii="Cormorant Garamond" w:cs="Cormorant Garamond" w:eastAsia="Cormorant Garamond" w:hAnsi="Cormorant Garamond"/>
          <w:color w:val="4A5944"/>
          <w:sz w:val="26"/>
          <w:szCs w:val="26"/>
        </w:rPr>
        <w:t xml:space="preserve">9. Lien Waiver</w:t>
      </w:r>
    </w:p>
    <w:p>
      <w:pPr>
        <w:spacing w:after="160"/>
      </w:pPr>
      <w:r>
        <w:rPr>
          <w:rFonts w:ascii="EB Garamond" w:cs="EB Garamond" w:eastAsia="EB Garamond" w:hAnsi="EB Garamond"/>
          <w:b w:val="false"/>
          <w:bCs w:val="false"/>
          <w:i w:val="false"/>
          <w:iCs w:val="false"/>
          <w:color w:val="1E1A17"/>
          <w:sz w:val="21"/>
          <w:szCs w:val="21"/>
        </w:rPr>
        <w:t xml:space="preserve">Upon receipt of final payment, Contractor will furnish Client a signed lien waiver releasing any mechanic’s lien rights against the property for the work described in this Agreement, to the extent payment has been received.</w:t>
      </w:r>
    </w:p>
    <w:p>
      <w:pPr>
        <w:pStyle w:val="Heading2"/>
      </w:pPr>
      <w:r>
        <w:rPr>
          <w:rFonts w:ascii="Cormorant Garamond" w:cs="Cormorant Garamond" w:eastAsia="Cormorant Garamond" w:hAnsi="Cormorant Garamond"/>
          <w:color w:val="4A5944"/>
          <w:sz w:val="26"/>
          <w:szCs w:val="26"/>
        </w:rPr>
        <w:t xml:space="preserve">10. Dispute Resolution</w:t>
      </w:r>
    </w:p>
    <w:p>
      <w:pPr>
        <w:spacing w:after="160"/>
      </w:pPr>
      <w:r>
        <w:rPr>
          <w:rFonts w:ascii="EB Garamond" w:cs="EB Garamond" w:eastAsia="EB Garamond" w:hAnsi="EB Garamond"/>
          <w:b w:val="false"/>
          <w:bCs w:val="false"/>
          <w:i w:val="false"/>
          <w:iCs w:val="false"/>
          <w:color w:val="1E1A17"/>
          <w:sz w:val="21"/>
          <w:szCs w:val="21"/>
        </w:rPr>
        <w:t xml:space="preserve">In the event of a dispute, both parties agree to first attempt resolution through direct, good-faith communication. If the dispute remains unresolved, the parties agree to pursue mediation before initiating any legal action.</w:t>
      </w:r>
    </w:p>
    <w:p>
      <w:pPr>
        <w:pStyle w:val="Heading2"/>
      </w:pPr>
      <w:r>
        <w:rPr>
          <w:rFonts w:ascii="Cormorant Garamond" w:cs="Cormorant Garamond" w:eastAsia="Cormorant Garamond" w:hAnsi="Cormorant Garamond"/>
          <w:color w:val="4A5944"/>
          <w:sz w:val="26"/>
          <w:szCs w:val="26"/>
        </w:rPr>
        <w:t xml:space="preserve">11. Termination</w:t>
      </w:r>
    </w:p>
    <w:p>
      <w:pPr>
        <w:spacing w:after="160"/>
      </w:pPr>
      <w:r>
        <w:rPr>
          <w:rFonts w:ascii="EB Garamond" w:cs="EB Garamond" w:eastAsia="EB Garamond" w:hAnsi="EB Garamond"/>
          <w:b w:val="false"/>
          <w:bCs w:val="false"/>
          <w:i w:val="false"/>
          <w:iCs w:val="false"/>
          <w:color w:val="1E1A17"/>
          <w:sz w:val="21"/>
          <w:szCs w:val="21"/>
        </w:rPr>
        <w:t xml:space="preserve">Either party may terminate this Agreement for material breach upon written notice, if the breach is not cured within a reasonable time. If Client terminates without cause, Client is responsible for payment for all work completed and materials ordered or committed as of the termination date.</w:t>
      </w:r>
    </w:p>
    <w:p>
      <w:pPr>
        <w:pStyle w:val="Heading2"/>
      </w:pPr>
      <w:r>
        <w:rPr>
          <w:rFonts w:ascii="Cormorant Garamond" w:cs="Cormorant Garamond" w:eastAsia="Cormorant Garamond" w:hAnsi="Cormorant Garamond"/>
          <w:color w:val="4A5944"/>
          <w:sz w:val="26"/>
          <w:szCs w:val="26"/>
        </w:rPr>
        <w:t xml:space="preserve">12. Entire Agreement &amp; Governing Law</w:t>
      </w:r>
    </w:p>
    <w:p>
      <w:pPr>
        <w:spacing w:after="160"/>
      </w:pPr>
      <w:r>
        <w:rPr>
          <w:rFonts w:ascii="EB Garamond" w:cs="EB Garamond" w:eastAsia="EB Garamond" w:hAnsi="EB Garamond"/>
          <w:b w:val="false"/>
          <w:bCs w:val="false"/>
          <w:i w:val="false"/>
          <w:iCs w:val="false"/>
          <w:color w:val="1E1A17"/>
          <w:sz w:val="21"/>
          <w:szCs w:val="21"/>
        </w:rPr>
        <w:t xml:space="preserve">This Agreement, together with the attached Scope of Work and any signed Change Orders, constitutes the entire agreement between the parties and supersedes any prior verbal or written understanding. This Agreement is governed by the laws of the State of Minnesota.</w:t>
      </w:r>
    </w:p>
    <w:p>
      <w:pPr>
        <w:spacing w:after="260" w:before="200"/>
      </w:pPr>
      <w:r>
        <w:rPr>
          <w:rFonts w:ascii="Jost" w:cs="Jost" w:eastAsia="Jost" w:hAnsi="Jost"/>
          <w:i/>
          <w:iCs/>
          <w:color w:val="9B9488"/>
          <w:sz w:val="15"/>
          <w:szCs w:val="15"/>
        </w:rPr>
        <w:t xml:space="preserve">Note: this template is provided for SJ Carpentry LLC’s internal operational use. Have a construction attorney review before use on higher-value or non-standard projects.</w:t>
      </w:r>
    </w:p>
    <w:p>
      <w:pPr>
        <w:pStyle w:val="Heading2"/>
      </w:pPr>
      <w:r>
        <w:rPr>
          <w:rFonts w:ascii="Cormorant Garamond" w:cs="Cormorant Garamond" w:eastAsia="Cormorant Garamond" w:hAnsi="Cormorant Garamond"/>
          <w:color w:val="4A5944"/>
          <w:sz w:val="26"/>
          <w:szCs w:val="26"/>
        </w:rPr>
        <w:t xml:space="preserve">Signatures</w:t>
      </w:r>
    </w:p>
    <w:p>
      <w:pPr>
        <w:spacing w:after="60"/>
      </w:pPr>
      <w:r>
        <w:rPr>
          <w:rFonts w:ascii="EB Garamond" w:cs="EB Garamond" w:eastAsia="EB Garamond" w:hAnsi="EB Garamond"/>
          <w:b w:val="false"/>
          <w:bCs w:val="false"/>
          <w:i w:val="false"/>
          <w:iCs w:val="false"/>
          <w:color w:val="1E1A17"/>
          <w:sz w:val="21"/>
          <w:szCs w:val="21"/>
        </w:rPr>
        <w:t xml:space="preserve">By signing below, both parties agree to be bound by the terms of this Agreement.</w:t>
      </w:r>
    </w:p>
    <w:p>
      <w:pPr>
        <w:pBdr>
          <w:bottom w:val="single" w:color="1E1A17" w:sz="4" w:space="4"/>
        </w:pBdr>
        <w:spacing w:after="40" w:before="400"/>
      </w:pPr>
      <w:r>
        <w:rPr>
          <w:rFonts w:ascii="EB Garamond" w:cs="EB Garamond" w:eastAsia="EB Garamond" w:hAnsi="EB Garamond"/>
          <w:sz w:val="21"/>
          <w:szCs w:val="21"/>
        </w:rPr>
        <w:t xml:space="preserve"> </w:t>
      </w:r>
    </w:p>
    <w:p>
      <w:pPr>
        <w:spacing w:after="20"/>
      </w:pPr>
      <w:r>
        <w:rPr>
          <w:rFonts w:ascii="Jost" w:cs="Jost" w:eastAsia="Jost" w:hAnsi="Jost"/>
          <w:b w:val="false"/>
          <w:bCs w:val="false"/>
          <w:color w:val="9B9488"/>
          <w:spacing w:val="10"/>
          <w:sz w:val="13"/>
          <w:szCs w:val="13"/>
        </w:rPr>
        <w:t xml:space="preserve">Client — SIGNATURE</w:t>
      </w:r>
    </w:p>
    <w:p>
      <w:pPr>
        <w:pBdr>
          <w:bottom w:val="single" w:color="1E1A17" w:sz="4" w:space="4"/>
        </w:pBdr>
        <w:spacing w:after="40" w:before="260"/>
      </w:pPr>
      <w:r>
        <w:rPr>
          <w:rFonts w:ascii="EB Garamond" w:cs="EB Garamond" w:eastAsia="EB Garamond" w:hAnsi="EB Garamond"/>
          <w:sz w:val="21"/>
          <w:szCs w:val="21"/>
        </w:rPr>
        <w:t xml:space="preserve"> </w:t>
      </w:r>
    </w:p>
    <w:p>
      <w:pPr>
        <w:spacing w:after="20"/>
      </w:pPr>
      <w:r>
        <w:rPr>
          <w:rFonts w:ascii="Jost" w:cs="Jost" w:eastAsia="Jost" w:hAnsi="Jost"/>
          <w:b w:val="false"/>
          <w:bCs w:val="false"/>
          <w:color w:val="9B9488"/>
          <w:spacing w:val="10"/>
          <w:sz w:val="13"/>
          <w:szCs w:val="13"/>
        </w:rPr>
        <w:t xml:space="preserve">PRINT NAME / DATE</w:t>
      </w:r>
    </w:p>
    <w:p>
      <w:pPr>
        <w:pBdr>
          <w:bottom w:val="single" w:color="1E1A17" w:sz="4" w:space="4"/>
        </w:pBdr>
        <w:spacing w:after="40" w:before="400"/>
      </w:pPr>
      <w:r>
        <w:rPr>
          <w:rFonts w:ascii="EB Garamond" w:cs="EB Garamond" w:eastAsia="EB Garamond" w:hAnsi="EB Garamond"/>
          <w:sz w:val="21"/>
          <w:szCs w:val="21"/>
        </w:rPr>
        <w:t xml:space="preserve"> </w:t>
      </w:r>
    </w:p>
    <w:p>
      <w:pPr>
        <w:spacing w:after="20"/>
      </w:pPr>
      <w:r>
        <w:rPr>
          <w:rFonts w:ascii="Jost" w:cs="Jost" w:eastAsia="Jost" w:hAnsi="Jost"/>
          <w:b w:val="false"/>
          <w:bCs w:val="false"/>
          <w:color w:val="9B9488"/>
          <w:spacing w:val="10"/>
          <w:sz w:val="13"/>
          <w:szCs w:val="13"/>
        </w:rPr>
        <w:t xml:space="preserve">SJ Carpentry LLC — SIGNATURE</w:t>
      </w:r>
    </w:p>
    <w:p>
      <w:pPr>
        <w:pBdr>
          <w:bottom w:val="single" w:color="1E1A17" w:sz="4" w:space="4"/>
        </w:pBdr>
        <w:spacing w:after="40" w:before="260"/>
      </w:pPr>
      <w:r>
        <w:rPr>
          <w:rFonts w:ascii="EB Garamond" w:cs="EB Garamond" w:eastAsia="EB Garamond" w:hAnsi="EB Garamond"/>
          <w:sz w:val="21"/>
          <w:szCs w:val="21"/>
        </w:rPr>
        <w:t xml:space="preserve"> </w:t>
      </w:r>
    </w:p>
    <w:p>
      <w:pPr>
        <w:spacing w:after="20"/>
      </w:pPr>
      <w:r>
        <w:rPr>
          <w:rFonts w:ascii="Jost" w:cs="Jost" w:eastAsia="Jost" w:hAnsi="Jost"/>
          <w:b w:val="false"/>
          <w:bCs w:val="false"/>
          <w:color w:val="9B9488"/>
          <w:spacing w:val="10"/>
          <w:sz w:val="13"/>
          <w:szCs w:val="13"/>
        </w:rPr>
        <w:t xml:space="preserve">PRINT NAME / DATE</w:t>
      </w:r>
    </w:p>
    <w:sectPr>
      <w:headerReference w:type="default" r:id="rId7"/>
      <w:footerReference w:type="default" r:id="rId8"/>
      <w:pgSz w:w="12240" w:h="15840" w:orient="portrait"/>
      <w:pgMar w:top="108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8" w:sz="4" w:space="5"/>
      </w:pBdr>
      <w:tabs>
        <w:tab w:val="right" w:pos="9026"/>
      </w:tabs>
    </w:pPr>
    <w:r>
      <w:rPr>
        <w:rFonts w:ascii="Jost" w:cs="Jost" w:eastAsia="Jost" w:hAnsi="Jost"/>
        <w:b w:val="false"/>
        <w:bCs w:val="false"/>
        <w:color w:val="9B9488"/>
        <w:spacing w:val="4"/>
        <w:sz w:val="11"/>
        <w:szCs w:val="11"/>
      </w:rPr>
      <w:t xml:space="preserve">SJ Carpentry LLC  ·  57 Center Rd, Circle Pines, MN 55014  ·  (612) 361-6585  ·  info@sjcarpentryllc.com</w:t>
    </w:r>
    <w:r>
      <w:rPr>
        <w:rFonts w:ascii="Jost" w:cs="Jost" w:eastAsia="Jost" w:hAnsi="Jost"/>
      </w:rPr>
      <w:t xml:space="preserve">	</w:t>
    </w:r>
    <w:r>
      <w:rPr>
        <w:rFonts w:ascii="Jost" w:cs="Jost" w:eastAsia="Jost" w:hAnsi="Jost"/>
        <w:color w:val="9B9488"/>
        <w:sz w:val="11"/>
        <w:szCs w:val="11"/>
      </w:rPr>
      <w:t xml:space="preserve">Page </w:t>
    </w:r>
    <w:r>
      <w:rPr>
        <w:rFonts w:ascii="Jost" w:cs="Jost" w:eastAsia="Jost" w:hAnsi="Jost"/>
        <w:color w:val="9B9488"/>
        <w:sz w:val="11"/>
        <w:szCs w:val="11"/>
      </w:rPr>
      <w:fldChar w:fldCharType="begin"/>
      <w:instrText xml:space="preserve">PAGE</w:instrText>
      <w:fldChar w:fldCharType="separate"/>
      <w:fldChar w:fldCharType="end"/>
    </w:r>
    <w:r>
      <w:rPr>
        <w:rFonts w:ascii="Jost" w:cs="Jost" w:eastAsia="Jost" w:hAnsi="Jost"/>
        <w:color w:val="9B9488"/>
        <w:sz w:val="11"/>
        <w:szCs w:val="11"/>
      </w:rPr>
      <w:t xml:space="preserve"> / </w:t>
    </w:r>
    <w:r>
      <w:rPr>
        <w:rFonts w:ascii="Jost" w:cs="Jost" w:eastAsia="Jost" w:hAnsi="Jost"/>
        <w:color w:val="9B9488"/>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8" w:sz="4" w:space="6"/>
      </w:pBdr>
      <w:tabs>
        <w:tab w:val="right" w:pos="9026"/>
      </w:tabs>
    </w:pPr>
    <w:r>
      <w:rPr>
        <w:rFonts w:ascii="Jost" w:cs="Jost" w:eastAsia="Jost" w:hAnsi="Jost"/>
        <w:b w:val="false"/>
        <w:bCs w:val="false"/>
        <w:color w:val="9B9488"/>
        <w:spacing w:val="16"/>
        <w:sz w:val="13"/>
        <w:szCs w:val="13"/>
      </w:rPr>
      <w:t xml:space="preserve">SJ Carpentry LLC</w:t>
    </w:r>
    <w:r>
      <w:rPr>
        <w:rFonts w:ascii="Jost" w:cs="Jost" w:eastAsia="Jost" w:hAnsi="Jost"/>
      </w:rPr>
      <w:t xml:space="preserve">	</w:t>
    </w:r>
    <w:r>
      <w:rPr>
        <w:rFonts w:ascii="Jost" w:cs="Jost" w:eastAsia="Jost" w:hAnsi="Jost"/>
        <w:b w:val="false"/>
        <w:bCs w:val="false"/>
        <w:color w:val="9B9488"/>
        <w:spacing w:val="16"/>
        <w:sz w:val="13"/>
        <w:szCs w:val="13"/>
      </w:rPr>
      <w:t xml:space="preserve">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4A5944"/>
      </w:rPr>
    </w:lvl>
  </w:abstractNum>
  <w:abstractNum w:abstractNumId="3"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1E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ormorant Garamond" w:cs="Cormorant Garamond" w:eastAsia="Cormorant Garamond" w:hAnsi="Cormorant Garamond"/>
      <w:b w:val="false"/>
      <w:bCs w:val="false"/>
      <w:color w:val="1E1A17"/>
      <w:sz w:val="40"/>
      <w:szCs w:val="40"/>
    </w:rPr>
  </w:style>
  <w:style w:type="paragraph" w:styleId="Heading2">
    <w:name w:val="Heading 2"/>
    <w:basedOn w:val="Normal"/>
    <w:next w:val="Normal"/>
    <w:qFormat/>
    <w:pPr>
      <w:spacing w:after="120" w:before="260"/>
      <w:outlineLvl w:val="1"/>
    </w:pPr>
    <w:rPr>
      <w:rFonts w:ascii="Cormorant Garamond" w:cs="Cormorant Garamond" w:eastAsia="Cormorant Garamond" w:hAnsi="Cormorant Garamond"/>
      <w:b w:val="false"/>
      <w:bCs w:val="false"/>
      <w:color w:val="4A59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fa07b82d8268981209753413d2876dceeeec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2026-07-10T14:58:21.583Z</dcterms:created>
  <dcterms:modified xsi:type="dcterms:W3CDTF">2026-07-10T14:58:21.583Z</dcterms:modified>
</cp:coreProperties>
</file>

<file path=docProps/custom.xml><?xml version="1.0" encoding="utf-8"?>
<Properties xmlns="http://schemas.openxmlformats.org/officeDocument/2006/custom-properties" xmlns:vt="http://schemas.openxmlformats.org/officeDocument/2006/docPropsVTypes"/>
</file>