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pPr>
        <w:pStyle w:val="TOC2"/>
      </w:pPr>
      <w:r>
        <w:t xml:space="preserve">4.4. EMPENTES DE TERRES</w:t>
      </w:r>
    </w:p>
    <w:p>
      <w:pPr>
        <w:pStyle w:val="TOC2"/>
      </w:pPr>
      <w:r>
        <w:t xml:space="preserve">4.5. ESTABILITAT DE VESSANT</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de l', en nom de , es vol valorar les característiques geològiques i geotècniques d'una zona on es preveu la construcció d'un habitatge aïllat.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PB+1PP</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400</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i el Carrer Arbrells de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
            </w:r>
            <w:r>
              <w:drawing>
                <wp:inline xmlns:a="http://schemas.openxmlformats.org/drawingml/2006/main" xmlns:pic="http://schemas.openxmlformats.org/drawingml/2006/picture">
                  <wp:extent cx="2520000" cy="1890000"/>
                  <wp:docPr id="1001" name="Picture 1"/>
                  <wp:cNvGraphicFramePr>
                    <a:graphicFrameLocks noChangeAspect="1"/>
                  </wp:cNvGraphicFramePr>
                  <a:graphic>
                    <a:graphicData uri="http://schemas.openxmlformats.org/drawingml/2006/picture">
                      <pic:pic>
                        <pic:nvPicPr>
                          <pic:cNvPr id="0" name="google_sat_parcel_423182_4609623.png"/>
                          <pic:cNvPicPr/>
                        </pic:nvPicPr>
                        <pic:blipFill>
                          <a:blip r:embed="rId24"/>
                          <a:stretch>
                            <a:fillRect/>
                          </a:stretch>
                        </pic:blipFill>
                        <pic:spPr>
                          <a:xfrm>
                            <a:off x="0" y="0"/>
                            <a:ext cx="2520000" cy="1890000"/>
                          </a:xfrm>
                          <a:prstGeom prst="rect"/>
                        </pic:spPr>
                      </pic:pic>
                    </a:graphicData>
                  </a:graphic>
                </wp:inline>
              </w:drawing>
            </w:r>
            <w:r>
              <w:t xml:space="preserve"/>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[Imatge pendent]</w:t>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C-1</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24 d'octubre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Castellar Del Valles</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amb Parcel·les sense construir, amb herbes altes i arbres, així com una parcel·la amb planta baixa i una planta pis, paral·lela al carrer Turó Roig.</w:t>
      </w:r>
    </w:p>
    <w:p w:rsidR="009C46A9" w:rsidRPr="00AE169B" w:rsidRDefault="00CC459A" w:rsidP="009C46A9">
      <w:pPr>
        <w:numPr>
          <w:ilvl w:val="0"/>
          <w:numId w:val="20"/>
        </w:numPr>
        <w:rPr>
          <w:szCs w:val="20"/>
        </w:rPr>
      </w:pPr>
      <w:r>
        <w:rPr>
          <w:szCs w:val="20"/>
        </w:rPr>
        <w:t xml:space="preserve">Per la part sud amb el Carrer Arbrells.</w:t>
      </w:r>
    </w:p>
    <w:p w:rsidR="009C46A9" w:rsidRPr="00AE169B" w:rsidRDefault="00E1171C" w:rsidP="002F49B5">
      <w:pPr>
        <w:numPr>
          <w:ilvl w:val="0"/>
          <w:numId w:val="20"/>
        </w:numPr>
        <w:rPr>
          <w:szCs w:val="20"/>
        </w:rPr>
      </w:pPr>
      <w:r>
        <w:rPr/>
        <w:t xml:space="preserve">Per la part est amb una Parcel·la construïda amb piscina.</w:t>
      </w:r>
    </w:p>
    <w:p w:rsidR="009C46A9" w:rsidRPr="00AE169B" w:rsidRDefault="00E1171C" w:rsidP="002F49B5">
      <w:pPr>
        <w:numPr>
          <w:ilvl w:val="0"/>
          <w:numId w:val="20"/>
        </w:numPr>
        <w:rPr>
          <w:szCs w:val="20"/>
        </w:rPr>
      </w:pPr>
      <w:r>
        <w:rPr>
          <w:szCs w:val="20"/>
        </w:rPr>
        <w:t xml:space="preserve">I finalment, per la part oest amb Parcel·les sense construir amb herbes altes i arbres.</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carrer Arbrells al sud de la parcel·la.</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Solar amb pendent pronunciada (36%), vegetació abundant, edificacions veïnes al nord i est</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
            </w:r>
            <w:r>
              <w:drawing>
                <wp:inline xmlns:a="http://schemas.openxmlformats.org/drawingml/2006/main" xmlns:pic="http://schemas.openxmlformats.org/drawingml/2006/picture">
                  <wp:extent cx="4320000" cy="2430000"/>
                  <wp:docPr id="1002" name="Picture 1"/>
                  <wp:cNvGraphicFramePr>
                    <a:graphicFrameLocks noChangeAspect="1"/>
                  </wp:cNvGraphicFramePr>
                  <a:graphic>
                    <a:graphicData uri="http://schemas.openxmlformats.org/drawingml/2006/picture">
                      <pic:pic>
                        <pic:nvPicPr>
                          <pic:cNvPr id="0" name="vista_general_1.jpg"/>
                          <pic:cNvPicPr/>
                        </pic:nvPicPr>
                        <pic:blipFill>
                          <a:blip r:embed="rId25"/>
                          <a:stretch>
                            <a:fillRect/>
                          </a:stretch>
                        </pic:blipFill>
                        <pic:spPr>
                          <a:xfrm>
                            <a:off x="0" y="0"/>
                            <a:ext cx="4320000" cy="2430000"/>
                          </a:xfrm>
                          <a:prstGeom prst="rect"/>
                        </pic:spPr>
                      </pic:pic>
                    </a:graphicData>
                  </a:graphic>
                </wp:inline>
              </w:drawing>
            </w:r>
            <w:r>
              <w:t xml:space="preserve"/>
            </w:r>
          </w:p>
        </w:tc>
        <w:tc>
          <w:tcPr>
            <w:tcW w:type="dxa" w:w="4153"/>
          </w:tcPr>
          <w:p>
            <w:pPr>
              <w:jc w:val="center"/>
            </w:pPr>
            <w:r>
              <w:t xml:space="preserve">[Imatge pendent]</w:t>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24 d'octubre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4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sondeig a rotació amb bateria contínua i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
      </w:r>
      <w:r>
        <w:drawing>
          <wp:inline xmlns:a="http://schemas.openxmlformats.org/drawingml/2006/main" xmlns:pic="http://schemas.openxmlformats.org/drawingml/2006/picture">
            <wp:extent cx="4320000" cy="2430000"/>
            <wp:docPr id="1003" name="Picture 1"/>
            <wp:cNvGraphicFramePr>
              <a:graphicFrameLocks noChangeAspect="1"/>
            </wp:cNvGraphicFramePr>
            <a:graphic>
              <a:graphicData uri="http://schemas.openxmlformats.org/drawingml/2006/picture">
                <pic:pic>
                  <pic:nvPicPr>
                    <pic:cNvPr id="0" name="maquina_dpsh.jpg"/>
                    <pic:cNvPicPr/>
                  </pic:nvPicPr>
                  <pic:blipFill>
                    <a:blip r:embed="rId26"/>
                    <a:stretch>
                      <a:fillRect/>
                    </a:stretch>
                  </pic:blipFill>
                  <pic:spPr>
                    <a:xfrm>
                      <a:off x="0" y="0"/>
                      <a:ext cx="4320000" cy="2430000"/>
                    </a:xfrm>
                    <a:prstGeom prst="rect"/>
                  </pic:spPr>
                </pic:pic>
              </a:graphicData>
            </a:graphic>
          </wp:inline>
        </w:drawing>
      </w:r>
      <w:r>
        <w:t xml:space="preserve"/>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
        <w:t xml:space="preserve"/>
      </w:r>
    </w:p>
    <w:p>
      <w:pPr>
        <w:pStyle w:val="Heading3"/>
      </w:pPr>
      <w:r>
        <w:t xml:space="preserve">2.4.2.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xml:space="preserve"/>
      </w:r>
      <w:r>
        <w:drawing>
          <wp:inline xmlns:a="http://schemas.openxmlformats.org/drawingml/2006/main" xmlns:pic="http://schemas.openxmlformats.org/drawingml/2006/picture">
            <wp:extent cx="4320000" cy="2430000"/>
            <wp:docPr id="1004" name="Picture 1"/>
            <wp:cNvGraphicFramePr>
              <a:graphicFrameLocks noChangeAspect="1"/>
            </wp:cNvGraphicFramePr>
            <a:graphic>
              <a:graphicData uri="http://schemas.openxmlformats.org/drawingml/2006/picture">
                <pic:pic>
                  <pic:nvPicPr>
                    <pic:cNvPr id="0" name="maquina_sondeig.jpg"/>
                    <pic:cNvPicPr/>
                  </pic:nvPicPr>
                  <pic:blipFill>
                    <a:blip r:embed="rId27"/>
                    <a:stretch>
                      <a:fillRect/>
                    </a:stretch>
                  </pic:blipFill>
                  <pic:spPr>
                    <a:xfrm>
                      <a:off x="0" y="0"/>
                      <a:ext cx="4320000" cy="2430000"/>
                    </a:xfrm>
                    <a:prstGeom prst="rect"/>
                  </pic:spPr>
                </pic:pic>
              </a:graphicData>
            </a:graphic>
          </wp:inline>
        </w:drawing>
      </w:r>
      <w:r>
        <w:t xml:space="preserve"/>
      </w:r>
    </w:p>
    <w:p>
      <w:r>
        <w:t xml:space="preserve">Fotografia 3. Vista de la màquina utilitzada per a la realització del sondeig a rotació.</w:t>
      </w:r>
    </w:p>
    <w:p>
      <w:r>
        <w:t xml:space="preserve"/>
      </w:r>
    </w:p>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2.4.3.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5"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2.4.4.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+569.50</w:t>
            </w:r>
          </w:p>
        </w:tc>
        <w:tc>
          <w:tcPr>
            <w:tcW w:type="dxa" w:w="1417"/>
          </w:tcPr>
          <w:p>
            <w:r>
              <w:t xml:space="preserve">-1.08</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+569.50</w:t>
            </w:r>
          </w:p>
        </w:tc>
        <w:tc>
          <w:tcPr>
            <w:tcW w:type="dxa" w:w="1417"/>
          </w:tcPr>
          <w:p>
            <w:r>
              <w:t xml:space="preserve">-0.48</w:t>
            </w:r>
          </w:p>
        </w:tc>
        <w:tc>
          <w:tcPr>
            <w:tcW w:type="dxa" w:w="993"/>
          </w:tcPr>
          <w:p>
            <w:r>
              <w:t xml:space="preserve">Si</w:t>
            </w:r>
          </w:p>
        </w:tc>
        <w:tc>
          <w:tcPr>
            <w:tcW w:type="dxa" w:w="2822"/>
          </w:tcPr>
          <w:p>
            <w:r>
              <w:t xml:space="preserve">No detectat</w:t>
            </w:r>
          </w:p>
        </w:tc>
      </w:tr>
      <w:tr>
        <w:tc>
          <w:tcPr>
            <w:tcW w:type="dxa" w:w="1756"/>
          </w:tcPr>
          <w:p>
            <w:r>
              <w:t xml:space="preserve">P-3</w:t>
            </w:r>
          </w:p>
        </w:tc>
        <w:tc>
          <w:tcPr>
            <w:tcW w:type="dxa" w:w="1409"/>
          </w:tcPr>
          <w:p>
            <w:r>
              <w:t xml:space="preserve">+569.50</w:t>
            </w:r>
          </w:p>
        </w:tc>
        <w:tc>
          <w:tcPr>
            <w:tcW w:type="dxa" w:w="1417"/>
          </w:tcPr>
          <w:p>
            <w:r>
              <w:t xml:space="preserve">-0.76</w:t>
            </w:r>
          </w:p>
        </w:tc>
        <w:tc>
          <w:tcPr>
            <w:tcW w:type="dxa" w:w="993"/>
          </w:tcPr>
          <w:p>
            <w:r>
              <w:t xml:space="preserve">Si</w:t>
            </w:r>
          </w:p>
        </w:tc>
        <w:tc>
          <w:tcPr>
            <w:tcW w:type="dxa" w:w="2822"/>
          </w:tcPr>
          <w:p>
            <w:r>
              <w:t xml:space="preserve">No detectat</w:t>
            </w:r>
          </w:p>
        </w:tc>
      </w:tr>
      <w:tr>
        <w:tc>
          <w:tcPr>
            <w:tcW w:type="dxa" w:w="1756"/>
          </w:tcPr>
          <w:p>
            <w:r>
              <w:t xml:space="preserve">P-4</w:t>
            </w:r>
          </w:p>
        </w:tc>
        <w:tc>
          <w:tcPr>
            <w:tcW w:type="dxa" w:w="1409"/>
          </w:tcPr>
          <w:p>
            <w:r>
              <w:t xml:space="preserve">+569.50</w:t>
            </w:r>
          </w:p>
        </w:tc>
        <w:tc>
          <w:tcPr>
            <w:tcW w:type="dxa" w:w="1417"/>
          </w:tcPr>
          <w:p>
            <w:r>
              <w:t xml:space="preserve">-1.55</w:t>
            </w:r>
          </w:p>
        </w:tc>
        <w:tc>
          <w:tcPr>
            <w:tcW w:type="dxa" w:w="993"/>
          </w:tcPr>
          <w:p>
            <w:r>
              <w:t xml:space="preserve">Si</w:t>
            </w:r>
          </w:p>
        </w:tc>
        <w:tc>
          <w:tcPr>
            <w:tcW w:type="dxa" w:w="2822"/>
          </w:tcPr>
          <w:p>
            <w:r>
              <w:t xml:space="preserve">No detectat</w:t>
            </w:r>
          </w:p>
        </w:tc>
      </w:tr>
    </w:tbl>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tc>
          <w:tcPr>
            <w:tcW w:type="dxa" w:w="1756"/>
          </w:tcPr>
          <w:p>
            <w:r>
              <w:t xml:space="preserve">S-1</w:t>
            </w:r>
          </w:p>
        </w:tc>
        <w:tc>
          <w:tcPr>
            <w:tcW w:type="dxa" w:w="1409"/>
          </w:tcPr>
          <w:p>
            <w:r>
              <w:t xml:space="preserve">+569.50</w:t>
            </w:r>
          </w:p>
        </w:tc>
        <w:tc>
          <w:tcPr>
            <w:tcW w:type="dxa" w:w="1417"/>
          </w:tcPr>
          <w:p>
            <w:r>
              <w:t xml:space="preserve">-1.20</w:t>
            </w:r>
          </w:p>
        </w:tc>
        <w:tc>
          <w:tcPr>
            <w:tcW w:type="dxa" w:w="993"/>
          </w:tcPr>
          <w:p>
            <w:r>
              <w:t xml:space="preserve">0/--</w:t>
            </w:r>
          </w:p>
        </w:tc>
        <w:tc>
          <w:tcPr>
            <w:tcW w:type="dxa" w:w="2822"/>
          </w:tcPr>
          <w:p>
            <w:r>
              <w:t xml:space="preserve">No detectat</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-1.0 a -1.2</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r>
        <w:t xml:space="preserve">Historia geològica de Castellar del Vallès</w:t>
      </w:r>
    </w:p>
    <w:p w:rsidR="00996D8D" w:rsidRPr="00E64594" w:rsidRDefault="00996D8D" w:rsidP="00996D8D">
      <w:r>
        <w:t xml:space="preserve">En primer lloc s’ha procedit a la consulta de la bibliografia geològica-geotècnica de les diferents cartografies existents sobre la zona.</w:t>
      </w:r>
    </w:p>
    <w:p w:rsidR="00996D8D" w:rsidRPr="00E64594" w:rsidRDefault="00996D8D" w:rsidP="00996D8D">
      <w:r>
        <w:t xml:space="preserve">La cartografia geològica utilitzada és el plànol geològic 1:50.000 de Sabadell, nº392, 36-15 publicat per l’Institut Geològic i Miner d’Espanya.</w:t>
      </w:r>
    </w:p>
    <w:p w:rsidR="00996D8D" w:rsidRPr="00E64594" w:rsidRDefault="00996D8D" w:rsidP="00996D8D">
      <w:r>
        <w:t xml:space="preserve">La zona d’estudi es troba situada a l’extrem nord-oriental del municipi de Castellar del Vallès, al cantó oriental del naixement del riu Tort i els torrents afluents.</w:t>
      </w:r>
    </w:p>
    <w:p w:rsidR="00996D8D" w:rsidRPr="00E64594" w:rsidRDefault="00996D8D" w:rsidP="00996D8D">
      <w:r>
        <w:t xml:space="preserve">Geomorfològicament, la zona d’estudi es troba situada entre dues grans unitats morfològiques: La Depressió del Vallès i la Serralada Prelitoral.</w:t>
      </w:r>
    </w:p>
    <w:p w:rsidR="00996D8D" w:rsidRPr="00E64594" w:rsidRDefault="00996D8D" w:rsidP="00996D8D">
      <w:r>
        <w:t xml:space="preserve">Més en concret es localitza a la Depressió del Vallès. Aquesta depressió és una fosa d’origen tectònic producte de la fase distensiva a la que va ser sotmesa la Serralada Costera Catalana des de l’Oligocè fins el Miocè superior.</w:t>
      </w:r>
    </w:p>
    <w:p w:rsidR="00996D8D" w:rsidRPr="00E64594" w:rsidRDefault="00996D8D" w:rsidP="00996D8D">
      <w:r>
        <w:t xml:space="preserve">Aquesta depressió ha estat reomplerta de materials miocens i neògens producte de l’erosió de les unitats estructurals limitants. Aquests materials, en la zona d’estudi, estan formats per roques sedimentàries d’antics sistemes al·luvials en règim torrencial, del tipus: argil·lites, limonites, gresos i conglomerats.</w:t>
      </w:r>
    </w:p>
    <w:p w:rsidR="00996D8D" w:rsidRPr="00E64594" w:rsidRDefault="00996D8D" w:rsidP="00996D8D">
      <w:r>
        <w:t xml:space="preserve">Per sobre d’aquests materials es dipositen sediments quaternaris formats per les lleres del riu Ripoll, el seu afluent el riu Tort, i dipòsits de peu de mont en les zones limítrofes amb les zones de relleus elevats de St Llorenç-La Mola.</w:t>
      </w:r>
    </w:p>
    <w:p w:rsidR="00996D8D" w:rsidRPr="00E64594" w:rsidRDefault="00996D8D" w:rsidP="00996D8D">
      <w:r>
        <w:t xml:space="preserve">Els materials quaternaris són argiles, llims, sorres i graves que sovint es presenten compactats i cimentats. Generalment quan més antics són aquests sediments de terrasses fluvials més compactació presenten.</w:t>
      </w:r>
    </w:p>
    <w:p w:rsidR="00996D8D" w:rsidRPr="00E64594" w:rsidRDefault="00996D8D" w:rsidP="00996D8D">
      <w:r>
        <w:t xml:space="preserve">La zona d’estudi es localitza just en el límit septentrional de la falla principal de l’extrem nord de la Fossa del Vallès, i s’associen amb aquesta, unes falles de secundàries que rejuguen. Aquest complex de falles permet aflorar prop de superfície un enclavament de roca plutònica paleozoica, que es correspon a un granit alcalí.</w:t>
      </w:r>
    </w:p>
    <w:p w:rsidR="00996D8D" w:rsidRPr="00E64594" w:rsidRDefault="00996D8D" w:rsidP="00996D8D">
      <w:r>
        <w:t xml:space="preserve">Aquests granits es troben en la seva part superficial meteoritzats per l’acció dels agents climatològics externs. Aquesta meteorització ha donat lloc a la formació del “sauló”, que visualment té un aspecte d’una sorra sense cohesió.</w:t>
      </w:r>
    </w:p>
    <w:p w:rsidR="00996D8D" w:rsidRPr="00E64594" w:rsidRDefault="00996D8D" w:rsidP="00996D8D">
      <w:r>
        <w:t xml:space="preserve">L’erosió del granit i el transport va donar lloc a la formació de ventalls al·luvials amb graves amb còdols de granit i matriu de sorra de sauló. Aquests al·luvials formats durant el Miocè superior, actualment estan consolidats i els trobem com conglomerats i arenisques.</w:t>
      </w:r>
    </w:p>
    <w:p w:rsidR="00996D8D" w:rsidRPr="00E64594" w:rsidRDefault="00996D8D" w:rsidP="00996D8D">
      <w:r>
        <w:t xml:space="preserve">Per sobre d’aquests materials s’han format sòls quaternaris i actuals, formats per la meteorització dels materials de substrat, l’acumulació de sediments dels torrents  (graves, argiles i llims) que des de la Mola van a desembocar al riu Ripoll i restes de matèria orgànica.</w:t>
      </w:r>
    </w:p>
    <w:p w:rsidR="00996D8D" w:rsidRPr="00E64594" w:rsidRDefault="00996D8D" w:rsidP="00996D8D">
      <w:r>
        <w:t xml:space="preserve">En concret, i segons l'Institut Cartogràfic i Geològic de Catalunya (ICGC), afloren els materials de la unitat PEcg, corresponents a conglomerats heteromètrics del Eocè.</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
      </w:r>
      <w:r>
        <w:drawing>
          <wp:inline xmlns:a="http://schemas.openxmlformats.org/drawingml/2006/main" xmlns:pic="http://schemas.openxmlformats.org/drawingml/2006/picture">
            <wp:extent cx="5400000" cy="4050000"/>
            <wp:docPr id="1006" name="Picture 1"/>
            <wp:cNvGraphicFramePr>
              <a:graphicFrameLocks noChangeAspect="1"/>
            </wp:cNvGraphicFramePr>
            <a:graphic>
              <a:graphicData uri="http://schemas.openxmlformats.org/drawingml/2006/picture">
                <pic:pic>
                  <pic:nvPicPr>
                    <pic:cNvPr id="0" name="geological_composite_423182_4609623.png"/>
                    <pic:cNvPicPr/>
                  </pic:nvPicPr>
                  <pic:blipFill>
                    <a:blip r:embed="rId28"/>
                    <a:stretch>
                      <a:fillRect/>
                    </a:stretch>
                  </pic:blipFill>
                  <pic:spPr>
                    <a:xfrm>
                      <a:off x="0" y="0"/>
                      <a:ext cx="5400000" cy="4050000"/>
                    </a:xfrm>
                    <a:prstGeom prst="rect"/>
                  </pic:spPr>
                </pic:pic>
              </a:graphicData>
            </a:graphic>
          </wp:inline>
        </w:drawing>
      </w:r>
      <w:r>
        <w:t xml:space="preserve"/>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2 nivells geotecnics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Llims argilosos amb grava grossa</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2n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Roca fracturada</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llims argilosos amb grava grossa,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eocè, unitat PEcg segons l'ICGC.</w:t>
        <w:br/>
        <w:t xml:space="preserve"/>
        <w:br/>
        <w:t xml:space="preserve">A partir dels assaigs realitzats, aquest nivell es detecta superficialment i fins a 0.50 m, amb un gruix de 0.50 m. Aquests materials presenten un valor mitjà de N20 de 11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430000"/>
            <wp:docPr id="1007" name="Picture 1"/>
            <wp:cNvGraphicFramePr>
              <a:graphicFrameLocks noChangeAspect="1"/>
            </wp:cNvGraphicFramePr>
            <a:graphic>
              <a:graphicData uri="http://schemas.openxmlformats.org/drawingml/2006/picture">
                <pic:pic>
                  <pic:nvPicPr>
                    <pic:cNvPr id="0" name="detall_materials.jpg"/>
                    <pic:cNvPicPr/>
                  </pic:nvPicPr>
                  <pic:blipFill>
                    <a:blip r:embed="rId29"/>
                    <a:stretch>
                      <a:fillRect/>
                    </a:stretch>
                  </pic:blipFill>
                  <pic:spPr>
                    <a:xfrm>
                      <a:off x="0" y="0"/>
                      <a:ext cx="4320000" cy="243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0.50 m de profunditat, amb potències estudiades de 0.50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mitja. Dels assaigs de penetració dinàmica DPSH s'obté un valor de Nb mig de 11 cops.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BE20D3" w:rsidRPr="007573C7" w:rsidRDefault="00BE20D3" w:rsidP="00BE20D3">
      <w:pPr>
        <w:pStyle w:val="Heading3"/>
        <w:jc w:val="right"/>
        <w:rPr>
          <w:lang w:val="ca-ES"/>
        </w:rPr>
      </w:pPr>
      <w:bookmarkStart w:id="44" w:name="_Toc216857731"/>
      <w:r w:rsidRPr="007573C7">
        <w:rPr>
          <w:lang w:val="ca-ES"/>
        </w:rPr>
        <w:t xml:space="preserve">3.2.2. 2n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2 està format per roca fracturada, de coloracions marrons a vermelloses. Aquests materials presenten una composició silícia típica dels dipòsits del Vallès-Penedès, amb components procedents de l'erosió de les serralades adjacents. </w:t>
        <w:br/>
        <w:t xml:space="preserve"/>
        <w:br/>
        <w:t xml:space="preserve">Aquest nivell s'ha identificat com a materials eocè, unitat PEcg segons l'ICGC.</w:t>
        <w:br/>
        <w:t xml:space="preserve"/>
        <w:br/>
        <w:t xml:space="preserve">A partir dels assaigs realitzats, aquest nivell es detecta a partir de 0.50 m i fins a 1.20 m, amb un gruix de 0.70 m. Aquests materials presenten un valor mitjà de N20 de 43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4320000" cy="2430000"/>
            <wp:docPr id="1008" name="Picture 1"/>
            <wp:cNvGraphicFramePr>
              <a:graphicFrameLocks noChangeAspect="1"/>
            </wp:cNvGraphicFramePr>
            <a:graphic>
              <a:graphicData uri="http://schemas.openxmlformats.org/drawingml/2006/picture">
                <pic:pic>
                  <pic:nvPicPr>
                    <pic:cNvPr id="0" name="detall_materials.jpg"/>
                    <pic:cNvPicPr/>
                  </pic:nvPicPr>
                  <pic:blipFill>
                    <a:blip r:embed="rId29"/>
                    <a:stretch>
                      <a:fillRect/>
                    </a:stretch>
                  </pic:blipFill>
                  <pic:spPr>
                    <a:xfrm>
                      <a:off x="0" y="0"/>
                      <a:ext cx="4320000" cy="2430000"/>
                    </a:xfrm>
                    <a:prstGeom prst="rect"/>
                  </pic:spPr>
                </pic:pic>
              </a:graphicData>
            </a:graphic>
          </wp:inline>
        </w:drawing>
      </w:r>
      <w:r>
        <w:t xml:space="preserve"/>
      </w:r>
    </w:p>
    <w:p w:rsidR="00BE20D3" w:rsidRPr="007573C7" w:rsidRDefault="00BE20D3" w:rsidP="00BE20D3">
      <w:pPr>
        <w:pStyle w:val="Caption"/>
        <w:jc w:val="center"/>
        <w:rPr>
          <w:rFonts w:cs="Tahoma"/>
          <w:b w:val="0"/>
          <w:szCs w:val="20"/>
        </w:rPr>
      </w:pPr>
      <w:r>
        <w:t xml:space="preserve">Fotografia 4. Detall dels materials del 2n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a partir de 0.50 m i fins a 1.20 m de profunditat, amb potències estudiades de 0.70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43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10^-2 a 10^-4</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Llims argilosos amb grava grossa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2n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10^-3 a 10^-5</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Roca fracturada</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0.0</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en planta baixa,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Castellar Del Valles</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 xml:space="preserve">b</w:t>
      </w:r>
      <w:r w:rsidRPr="006A230B">
        <w:rPr>
          <w:rFonts w:eastAsia="Dotum"/>
          <w:szCs w:val="20"/>
        </w:rPr>
        <w:t xml:space="preserve">  &lt;0,04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0.50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1.6</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2</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0.70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Castellar Del Valles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detecten 2 nivells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llims argilosos amb grava grossa,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eocè, unitat PEcg segons l'ICGC.</w:t>
        <w:br/>
        <w:t xml:space="preserve"/>
        <w:br/>
        <w:t xml:space="preserve">A partir dels assaigs realitzats, aquest nivell es detecta superficialment i fins a 0.50 m, amb un gruix de 0.50 m. Aquests materials presenten un valor mitjà de N20 de 11 cops.</w:t>
        <w:br/>
        <w:t xml:space="preserve"/>
        <w:br/>
        <w:t xml:space="preserve">Des del punt de vista geomecànic es tracta d'uns materials de caràcter generalment granulars, amb una densitat i una capacitat portant mitja. Dels assaigs de penetració dinàmica es dedueix una consistència mitja.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9" name="Picture 1"/>
            <wp:cNvGraphicFramePr>
              <a:graphicFrameLocks noChangeAspect="1"/>
            </wp:cNvGraphicFramePr>
            <a:graphic>
              <a:graphicData uri="http://schemas.openxmlformats.org/drawingml/2006/picture">
                <pic:pic>
                  <pic:nvPicPr>
                    <pic:cNvPr id="0" name="tall_tall.jpg"/>
                    <pic:cNvPicPr/>
                  </pic:nvPicPr>
                  <pic:blipFill>
                    <a:blip r:embed="rId30"/>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Llims argilosos amb grava grossa.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7-19</w:t>
            </w:r>
          </w:p>
        </w:tc>
        <w:tc>
          <w:tcPr>
            <w:tcW w:w="720" w:type="dxa"/>
            <w:vAlign w:val="center"/>
          </w:tcPr>
          <w:p w:rsidR="00C636E0" w:rsidRPr="00B33352" w:rsidRDefault="009170EC" w:rsidP="00565297">
            <w:pPr>
              <w:jc w:val="center"/>
              <w:rPr>
                <w:sz w:val="18"/>
                <w:szCs w:val="18"/>
              </w:rPr>
            </w:pPr>
            <w:r w:rsidRPr="00B33352">
              <w:rPr>
                <w:sz w:val="18"/>
                <w:szCs w:val="18"/>
              </w:rPr>
              <w:t xml:space="preserve">11</w:t>
            </w:r>
          </w:p>
        </w:tc>
        <w:tc>
          <w:tcPr>
            <w:tcW w:w="1134" w:type="dxa"/>
            <w:vAlign w:val="center"/>
          </w:tcPr>
          <w:p w:rsidR="00C77253" w:rsidRPr="00B33352" w:rsidRDefault="00B33352" w:rsidP="00C77253">
            <w:pPr>
              <w:jc w:val="center"/>
              <w:rPr>
                <w:sz w:val="18"/>
                <w:szCs w:val="18"/>
              </w:rPr>
            </w:pPr>
            <w:r w:rsidRPr="00B33352">
              <w:rPr>
                <w:sz w:val="18"/>
                <w:szCs w:val="18"/>
              </w:rPr>
              <w:t xml:space="preserve">2.00</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30°</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114</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2n nivell. Roca fracturada.</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10-R</w:t>
            </w:r>
          </w:p>
        </w:tc>
        <w:tc>
          <w:tcPr>
            <w:tcW w:w="720" w:type="dxa"/>
            <w:vAlign w:val="center"/>
          </w:tcPr>
          <w:p w:rsidR="00C636E0" w:rsidRPr="00B33352" w:rsidRDefault="009170EC" w:rsidP="00565297">
            <w:pPr>
              <w:jc w:val="center"/>
              <w:rPr>
                <w:sz w:val="18"/>
                <w:szCs w:val="18"/>
              </w:rPr>
            </w:pPr>
            <w:r w:rsidRPr="00B33352">
              <w:rPr>
                <w:sz w:val="18"/>
                <w:szCs w:val="18"/>
              </w:rPr>
              <w:t xml:space="preserve">43</w:t>
            </w:r>
          </w:p>
        </w:tc>
        <w:tc>
          <w:tcPr>
            <w:tcW w:w="1134" w:type="dxa"/>
            <w:vAlign w:val="center"/>
          </w:tcPr>
          <w:p w:rsidR="00C77253" w:rsidRPr="00B33352" w:rsidRDefault="00B33352" w:rsidP="00C77253">
            <w:pPr>
              <w:jc w:val="center"/>
              <w:rPr>
                <w:sz w:val="18"/>
                <w:szCs w:val="18"/>
              </w:rPr>
            </w:pPr>
            <w:r w:rsidRPr="00B33352">
              <w:rPr>
                <w:sz w:val="18"/>
                <w:szCs w:val="18"/>
              </w:rPr>
              <w:t xml:space="preserve">2.20</w:t>
            </w:r>
          </w:p>
        </w:tc>
        <w:tc>
          <w:tcPr>
            <w:tcW w:w="1134" w:type="dxa"/>
            <w:vAlign w:val="center"/>
          </w:tcPr>
          <w:p w:rsidR="00C636E0" w:rsidRPr="00B33352" w:rsidRDefault="00B33352" w:rsidP="00EF7435">
            <w:pPr>
              <w:jc w:val="center"/>
              <w:rPr>
                <w:sz w:val="18"/>
                <w:szCs w:val="18"/>
              </w:rPr>
            </w:pPr>
            <w:r w:rsidRPr="00B33352">
              <w:rPr>
                <w:sz w:val="18"/>
                <w:szCs w:val="18"/>
              </w:rPr>
              <w:t xml:space="preserve">1.00</w:t>
            </w:r>
          </w:p>
        </w:tc>
        <w:tc>
          <w:tcPr>
            <w:tcW w:w="1134" w:type="dxa"/>
            <w:vAlign w:val="center"/>
          </w:tcPr>
          <w:p w:rsidR="00C636E0" w:rsidRPr="00B33352" w:rsidRDefault="00B33352" w:rsidP="00EF7435">
            <w:pPr>
              <w:jc w:val="center"/>
              <w:rPr>
                <w:sz w:val="18"/>
                <w:szCs w:val="18"/>
              </w:rPr>
            </w:pPr>
            <w:r w:rsidRPr="00B33352">
              <w:rPr>
                <w:sz w:val="18"/>
                <w:szCs w:val="18"/>
              </w:rPr>
              <w:t xml:space="preserve">35°</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500</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w:t>
        <w:br/>
        <w:t xml:space="preserve"/>
        <w:br/>
        <w:t xml:space="preserve">Amb tot, donada la pendent de la zona, es recomana dimensionar una correcta xarxa de recollida d'aigües per a què no circuli lliurement damunt de la superfície del solar.</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El contingut en sulfats del terreny es de 0 mg/kg. El terreny es classifica com a NO AGRESSIU al formigó segons el Codi Estructural (CE-21).</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en planta baixa,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5.00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2.27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8.3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0E60F8" w:rsidRPr="00306C3C" w:rsidRDefault="000E60F8" w:rsidP="00233428">
      <w:pPr>
        <w:pStyle w:val="Heading2"/>
        <w:rPr>
          <w:rFonts w:eastAsia="Dotum"/>
          <w:szCs w:val="20"/>
        </w:rPr>
      </w:pPr>
      <w:r>
        <w:t xml:space="preserve">4.4. EMPENTES DE TERRES</w:t>
      </w:r>
    </w:p>
    <w:p w:rsidR="000E60F8" w:rsidRPr="00306C3C" w:rsidRDefault="000E60F8" w:rsidP="00233428">
      <w:pPr>
        <w:rPr>
          <w:rFonts w:eastAsia="Dotum"/>
          <w:szCs w:val="20"/>
        </w:rPr>
      </w:pPr>
      <w:r>
        <w:t xml:space="preserve">Per al disseny dels murs de contenció, s'han calculat els coeficients d'empenta de Rankine:</w:t>
        <w:br/>
        <w:t xml:space="preserve"/>
        <w:br/>
        <w:t xml:space="preserve">- Coeficient d'empenta activa: Ka = 0.271</w:t>
        <w:br/>
        <w:t xml:space="preserve">- Coeficient d'empenta passiva: Kp = 3.690</w:t>
        <w:br/>
        <w:t xml:space="preserve"/>
        <w:br/>
        <w:t xml:space="preserve">Amb un angle de fricció interna de 35 i una densitat de 2.20 g/cm3.</w:t>
      </w:r>
    </w:p>
    <w:p w:rsidR="002A7710" w:rsidRPr="00306C3C" w:rsidRDefault="002A7710" w:rsidP="00233428">
      <w:pPr>
        <w:pStyle w:val="Heading2"/>
        <w:rPr>
          <w:rFonts w:eastAsia="Dotum"/>
          <w:szCs w:val="20"/>
        </w:rPr>
      </w:pPr>
      <w:r>
        <w:t xml:space="preserve">4.5. ESTABILITAT DE VESSANT</w:t>
      </w:r>
    </w:p>
    <w:p w:rsidR="000E60F8" w:rsidRPr="00306C3C" w:rsidRDefault="007B0AB3" w:rsidP="00233428">
      <w:pPr>
        <w:rPr>
          <w:rFonts w:eastAsia="Dotum"/>
          <w:szCs w:val="20"/>
        </w:rPr>
      </w:pPr>
      <w:r>
        <w:rPr>
          <w:rFonts w:eastAsia="Dotum"/>
          <w:szCs w:val="20"/>
        </w:rPr>
        <w:t xml:space="preserve">Per a la realitzacio de les recomanacions d'estabilitat de talussos s'han tingut en compte les seguents premisses:</w:t>
        <w:br/>
        <w:t xml:space="preserve"/>
        <w:br/>
        <w:t xml:space="preserve">- El solar presenta un pendent del 36% (20 graus) en direccio SE.</w:t>
        <w:br/>
        <w:t xml:space="preserve">- Talussos sense presencia de nivell freatic.</w:t>
        <w:br/>
        <w:t xml:space="preserve">- Factor de seguretat minim F=1.5 (CTE DB SE-C apartat 7.2.2.1, situacio persistent).</w:t>
        <w:br/>
        <w:t xml:space="preserve">- S'han considerat els parametres geomecanics del 2n nivell (Roca fracturada) (phi=35 graus, gamma=2.20 g/cm3, c=1.00 kg/cm2).</w:t>
        <w:br/>
        <w:t xml:space="preserve"/>
        <w:br/>
        <w:t xml:space="preserve">El metode de calcul utilitzat es el de ruptura circular (Hoek  Bray (1977), abac n1 (talus sec)), aplicable a talussos amb cohesio on la superficie de ruptura es de tipus circular.</w:t>
        <w:br/>
        <w:t xml:space="preserve"/>
        <w:br/>
        <w:t xml:space="preserve">Amb c=1.00 kg/cm2, H=4.0 m, beta=20 graus: FS &gt; 3.5</w:t>
        <w:br/>
        <w:t xml:space="preserve"/>
        <w:br/>
        <w:t xml:space="preserve">Els factors de seguretat obtinguts son superiors a 3.5, complint amb escreix les premisses del CTE (minim exigit F=1.5).</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3001621</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03 de març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pn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png"/><Relationship Id="rId29" Type="http://schemas.openxmlformats.org/officeDocument/2006/relationships/image" Target="media/image17.jpg"/><Relationship Id="rId30" Type="http://schemas.openxmlformats.org/officeDocument/2006/relationships/image" Target="media/image18.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