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left="0"/>
        <w:rPr/>
      </w:pPr>
      <w:r>
        <w:rPr/>
        <w:t>Marc geològic del Bages</w:t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BodyText"/>
        <w:rPr>
          <w:rFonts w:ascii="Verdana" w:hAnsi="Verdana" w:cs="Verdana"/>
        </w:rPr>
      </w:pPr>
      <w:r>
        <w:rPr>
          <w:rFonts w:cs="Verdana" w:ascii="Verdana" w:hAnsi="Verdana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BodyText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Full 07: Bages, del Mapa geològic comarcal de Catalunya, 1:50000 de l’ICC, 2006.</w:t>
      </w:r>
    </w:p>
    <w:p>
      <w:pPr>
        <w:pStyle w:val="BodyText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Hoja 362: Calaf; Hoja 363: Manresa,  del Mapa geológico de España, 1:50000 de l’IGME, 1982 i 1975 respectivament.</w:t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 xml:space="preserve">L’estudi s’ha realitzat sobre materials del Terciari de la Depressió de l’Ebre. La Depressió  queda representada pels terrenys eocens i oligocens. </w:t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Aquesta depressió era aleshores una conca marina, un braç de mar obert cap a l’Oceà Atlàntic. La línia de costa d’aquest mar es situava al Sud, marcada pel que actualment és la Serralada Prelitoral i en concret els massissos de Sant Llorenç del Munt i Montserrat. Durant aquest període es van dipositar dipòsits marins, formats per sorres i argiles (fangs) que posteriorment es van litificant originant limolite, margues, gresos i calcàries. Són materials de l’Eocè mitjà.</w:t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Textoindependiente3"/>
        <w:rPr>
          <w:rFonts w:ascii="Verdana" w:hAnsi="Verdana" w:cs="Verdana"/>
        </w:rPr>
      </w:pPr>
      <w:r>
        <w:rPr>
          <w:rFonts w:cs="Verdana" w:ascii="Verdana" w:hAnsi="Verdana"/>
        </w:rPr>
        <w:t xml:space="preserve">Més endavant, durant l’Eocè superior, el mar es va anar enretirant i assecant. Aquest fet va originar potents dipòsits evaporítics, formats per guix, potassa, etc. </w:t>
      </w:r>
    </w:p>
    <w:p>
      <w:pPr>
        <w:pStyle w:val="Textoindependiente3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Textoindependiente3"/>
        <w:rPr>
          <w:rFonts w:ascii="Verdana" w:hAnsi="Verdana" w:cs="Verdana"/>
        </w:rPr>
      </w:pPr>
      <w:r>
        <w:rPr>
          <w:rFonts w:cs="Verdana" w:ascii="Verdana" w:hAnsi="Verdana"/>
        </w:rPr>
        <w:t>De l’Eocè superior i fins ben entrat l’Oligocè, es va originar a la zona una conca de tipus continental, amb domini de la sedimentació terrígena. Els rius i llacs van originar dipòsits terrígens vermellosos, concretament lutites i gresos. En algunes zones lacustres s’hi van formar dipòsits calcaris.</w:t>
      </w:r>
    </w:p>
    <w:p>
      <w:pPr>
        <w:pStyle w:val="Textoindependiente3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Textoindependiente3"/>
        <w:rPr>
          <w:rFonts w:ascii="Verdana" w:hAnsi="Verdana" w:cs="Verdana"/>
        </w:rPr>
      </w:pPr>
      <w:r>
        <w:rPr>
          <w:rFonts w:cs="Verdana" w:ascii="Verdana" w:hAnsi="Verdana"/>
        </w:rPr>
        <w:t>Més tard, fins al Miocè mitjà, la formació dels Pirineus va acabar originant una sèrie de plegaments en els materials que es van anar dipositant a la depressió. Es manifesten en una successió de plecs anticlinals i sinclinals suaus, generalment d’orientació Nordest a Sudoest. Al mateix temps, aquests moviments tectònics van propiciar la intrusió diapírica dels dipòsits evaporítics, fet que els va fer aflorar en superfície o a menor profunditat a la qual es trobaven originalment.</w:t>
      </w:r>
    </w:p>
    <w:p>
      <w:pPr>
        <w:pStyle w:val="Textoindependiente3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BodyText2"/>
        <w:ind w:left="0" w:right="0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Per damunt d’aquests materials s’instal·la la xarxa hidrogràfica actual, i es formen els sòls quaternaris associats a aquestes fàcies.</w:t>
      </w:r>
    </w:p>
    <w:p>
      <w:pPr>
        <w:pStyle w:val="BodyText2"/>
        <w:ind w:left="0" w:right="0"/>
        <w:rPr>
          <w:rFonts w:ascii="Verdana" w:hAnsi="Verdana" w:cs="Verdana"/>
        </w:rPr>
      </w:pPr>
      <w:r>
        <w:rPr>
          <w:rFonts w:cs="Verdana" w:ascii="Verdana" w:hAnsi="Verdana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Monotype Sorts">
    <w:altName w:val="Symbol"/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bCs/>
      <w:sz w:val="24"/>
    </w:rPr>
  </w:style>
  <w:style w:type="character" w:styleId="WW8Num1z0">
    <w:name w:val="WW8Num1z0"/>
    <w:qFormat/>
    <w:rPr>
      <w:rFonts w:ascii="Wingdings" w:hAnsi="Wingdings" w:cs="Wingdings"/>
      <w:sz w:val="24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Monotype Sorts;Symbol" w:hAnsi="Monotype Sorts;Symbol" w:cs="Monotype Sorts;Symbol"/>
      <w:sz w:val="36"/>
    </w:rPr>
  </w:style>
  <w:style w:type="character" w:styleId="WW8Num3z0">
    <w:name w:val="WW8Num3z0"/>
    <w:qFormat/>
    <w:rPr>
      <w:rFonts w:ascii="Monotype Sorts;Symbol" w:hAnsi="Monotype Sorts;Symbol" w:cs="Monotype Sorts;Symbol"/>
      <w:sz w:val="36"/>
    </w:rPr>
  </w:style>
  <w:style w:type="character" w:styleId="WW8Num4z0">
    <w:name w:val="WW8Num4z0"/>
    <w:qFormat/>
    <w:rPr>
      <w:rFonts w:ascii="Wingdings" w:hAnsi="Wingdings" w:cs="Wingdings"/>
      <w:sz w:val="24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Monotype Sorts;Symbol" w:hAnsi="Monotype Sorts;Symbol" w:cs="Monotype Sorts;Symbol"/>
      <w:sz w:val="36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Monotype Sorts;Symbol" w:hAnsi="Monotype Sorts;Symbol" w:cs="Arial"/>
      <w:sz w:val="36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Monotype Sorts;Symbol" w:hAnsi="Monotype Sorts;Symbol" w:cs="Monotype Sorts;Symbol"/>
      <w:sz w:val="36"/>
    </w:rPr>
  </w:style>
  <w:style w:type="character" w:styleId="WW8Num12z0">
    <w:name w:val="WW8Num12z0"/>
    <w:qFormat/>
    <w:rPr>
      <w:rFonts w:ascii="Monotype Sorts;Symbol" w:hAnsi="Monotype Sorts;Symbol" w:cs="Arial"/>
      <w:sz w:val="36"/>
    </w:rPr>
  </w:style>
  <w:style w:type="character" w:styleId="WW8Num13z0">
    <w:name w:val="WW8Num13z0"/>
    <w:qFormat/>
    <w:rPr>
      <w:rFonts w:ascii="Symbol" w:hAnsi="Symbol" w:eastAsia="Times New Roman" w:cs="Times New Roman"/>
      <w:b/>
      <w:sz w:val="28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Monotype Sorts;Symbol" w:hAnsi="Monotype Sorts;Symbol" w:cs="Monotype Sorts;Symbol"/>
      <w:sz w:val="36"/>
    </w:rPr>
  </w:style>
  <w:style w:type="character" w:styleId="WW8Num15z0">
    <w:name w:val="WW8Num15z0"/>
    <w:qFormat/>
    <w:rPr>
      <w:rFonts w:ascii="Monotype Sorts;Symbol" w:hAnsi="Monotype Sorts;Symbol" w:cs="Arial"/>
      <w:sz w:val="36"/>
    </w:rPr>
  </w:style>
  <w:style w:type="character" w:styleId="WW8Num16z0">
    <w:name w:val="WW8Num16z0"/>
    <w:qFormat/>
    <w:rPr>
      <w:rFonts w:ascii="Monotype Sorts;Symbol" w:hAnsi="Monotype Sorts;Symbol" w:cs="Monotype Sorts;Symbol"/>
      <w:sz w:val="36"/>
    </w:rPr>
  </w:style>
  <w:style w:type="character" w:styleId="WW8Num17z0">
    <w:name w:val="WW8Num17z0"/>
    <w:qFormat/>
    <w:rPr>
      <w:rFonts w:ascii="Wingdings" w:hAnsi="Wingdings" w:cs="Wingdings"/>
      <w:sz w:val="24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Monotype Sorts;Symbol" w:hAnsi="Monotype Sorts;Symbol" w:cs="Monotype Sorts;Symbol"/>
      <w:sz w:val="36"/>
    </w:rPr>
  </w:style>
  <w:style w:type="character" w:styleId="WW8Num19z0">
    <w:name w:val="WW8Num19z0"/>
    <w:qFormat/>
    <w:rPr>
      <w:rFonts w:ascii="Wingdings" w:hAnsi="Wingdings" w:cs="Wingdings"/>
      <w:sz w:val="24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Wingdings" w:hAnsi="Wingdings" w:cs="Wingdings"/>
      <w:sz w:val="24"/>
    </w:rPr>
  </w:style>
  <w:style w:type="character" w:styleId="WW8Num20z1">
    <w:name w:val="WW8Num20z1"/>
    <w:qFormat/>
    <w:rPr>
      <w:rFonts w:ascii="Verdana" w:hAnsi="Verdana" w:eastAsia="Times New Roman" w:cs="Times New Roman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0z4">
    <w:name w:val="WW8Num20z4"/>
    <w:qFormat/>
    <w:rPr>
      <w:rFonts w:ascii="Courier New" w:hAnsi="Courier New" w:cs="Courier New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Monotype Sorts;Symbol" w:hAnsi="Monotype Sorts;Symbol" w:cs="Monotype Sorts;Symbol"/>
      <w:sz w:val="36"/>
    </w:rPr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Verdana" w:hAnsi="Verdana" w:eastAsia="Times New Roman" w:cs="Times New Roman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/>
    <w:rPr>
      <w:rFonts w:ascii="Tahoma" w:hAnsi="Tahoma" w:cs="Tahoma"/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">
    <w:name w:val="Body Text 2"/>
    <w:basedOn w:val="Normal"/>
    <w:qFormat/>
    <w:pPr>
      <w:ind w:hanging="0" w:left="708" w:right="0"/>
    </w:pPr>
    <w:rPr>
      <w:rFonts w:ascii="Tahoma" w:hAnsi="Tahoma" w:cs="Tahoma"/>
      <w:sz w:val="24"/>
    </w:rPr>
  </w:style>
  <w:style w:type="paragraph" w:styleId="Textoindependiente3">
    <w:name w:val="Texto independiente 3"/>
    <w:basedOn w:val="Normal"/>
    <w:qFormat/>
    <w:pPr>
      <w:jc w:val="both"/>
    </w:pPr>
    <w:rPr>
      <w:rFonts w:ascii="Tahoma" w:hAnsi="Tahoma" w:cs="Tahoma"/>
      <w:sz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2007-03-30T09:18:00Z</dcterms:created>
  <dc:creator>Sílvia</dc:creator>
  <dc:description/>
  <cp:keywords/>
  <dc:language>en-US</dc:language>
  <cp:lastModifiedBy>marc@g3dt.com</cp:lastModifiedBy>
  <dcterms:modified xsi:type="dcterms:W3CDTF">2010-04-06T16:23:00Z</dcterms:modified>
  <cp:revision>4</cp:revision>
  <dc:subject/>
  <dc:title>Marc geològic de Manresa i rodalies</dc:title>
</cp:coreProperties>
</file>