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Times" w:cs="Calibri"/>
          <w:sz w:val="28"/>
          <w:szCs w:val="28"/>
        </w:rPr>
      </w:pPr>
      <w:r>
        <w:rPr>
          <w:rFonts w:eastAsia="Times" w:cs="Calibri" w:ascii="Calibri" w:hAnsi="Calibri"/>
          <w:sz w:val="28"/>
          <w:szCs w:val="28"/>
        </w:rPr>
        <w:t>En primer lugar se ha procedido a la consulta de las diferentes cartografías geológicas existentes sobre la zona</w:t>
      </w:r>
    </w:p>
    <w:p>
      <w:pPr>
        <w:pStyle w:val="BodyText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Hoja 03: Alt Penedès, del Mapa geológico comarcal de Cataluña, 1:50000 de l’ICC, 2005.</w:t>
      </w:r>
    </w:p>
    <w:p>
      <w:pPr>
        <w:pStyle w:val="BodyText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Hoja 419: Vilafranca del Penedés; Hoja 447: Vilanova i la Geltrú,  del Mapa geológico de España, 1:50000 de l’IGME, 1982 .</w:t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El presente estudio se ha llevado a cabo en el contexto del llamado Sistema Mediterráneo, formado por tres unidades: la Depresión del Vallès-Penedès, flanqueada por la Serralada Prelitoral al Norte i la Serralada Litoral al S. Más concretamente, la zona de estudio se encuentra dentro de la Depresión del Penedès.</w:t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El proceso que definió la distribución actual de esta gran unidad empezó a inicios del Mioceno, durante una etapa de rifting relacionada con la creación de una cuenca marina entre Catalunya i Baleares, en el contexto de la Mediterránea occidental. Durante esta etapa se produjo el hundimiento de un gran bloque de materiales paleozoicos y mesozoicos del antiguo Macizo Catalano-Balear. Éstos materiales hundidos constituyeron el zócalo sobre el qual se depositó posteriormente la potente série de materiales miocenos, rellenando la Depresión del Vallès-Penedès, flanqueada a ambos lados por las sierras citadas anteriormente, las cuales representan los bloques elevados resultado del proceso de </w:t>
      </w:r>
      <w:r>
        <w:rPr>
          <w:rFonts w:cs="Calibri" w:ascii="Calibri" w:hAnsi="Calibri"/>
          <w:i/>
          <w:sz w:val="28"/>
          <w:szCs w:val="28"/>
        </w:rPr>
        <w:t>rifting</w:t>
      </w:r>
      <w:r>
        <w:rPr>
          <w:rFonts w:cs="Calibri" w:ascii="Calibri" w:hAnsi="Calibri"/>
          <w:sz w:val="28"/>
          <w:szCs w:val="28"/>
        </w:rPr>
        <w:t>.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La série estratigráfica miocena se estructura de la siguiente forma: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tabs>
          <w:tab w:val="clear" w:pos="708"/>
        </w:tabs>
        <w:ind w:hanging="360" w:left="709" w:right="0"/>
        <w:jc w:val="both"/>
        <w:rPr>
          <w:rFonts w:ascii="Calibri" w:hAnsi="Calibri" w:cs="Calibri"/>
          <w:bCs/>
          <w:sz w:val="28"/>
          <w:szCs w:val="28"/>
        </w:rPr>
      </w:pPr>
      <w:r>
        <w:rPr>
          <w:rFonts w:cs="Calibri" w:ascii="Calibri" w:hAnsi="Calibri"/>
          <w:bCs/>
          <w:sz w:val="28"/>
          <w:szCs w:val="28"/>
        </w:rPr>
        <w:t>Conglomeratos y areniscas contintentales, asociados a la actividad de abanicos aluviales (Burdigaliense inferior).</w:t>
      </w:r>
    </w:p>
    <w:p>
      <w:pPr>
        <w:pStyle w:val="Normal"/>
        <w:tabs>
          <w:tab w:val="clear" w:pos="708"/>
        </w:tabs>
        <w:ind w:hanging="360" w:left="709" w:right="0"/>
        <w:jc w:val="both"/>
        <w:rPr>
          <w:rFonts w:ascii="Calibri" w:hAnsi="Calibri" w:cs="Calibri"/>
          <w:bCs/>
          <w:sz w:val="28"/>
          <w:szCs w:val="28"/>
        </w:rPr>
      </w:pPr>
      <w:r>
        <w:rPr>
          <w:rFonts w:cs="Calibri" w:ascii="Calibri" w:hAnsi="Calibri"/>
          <w:bCs/>
          <w:sz w:val="28"/>
          <w:szCs w:val="28"/>
        </w:rPr>
        <w:t>Lutitas roja y grises con yesos (Burfigaliense superior). Representan depósitos de transición de ambiente continental a marino.</w:t>
      </w:r>
    </w:p>
    <w:p>
      <w:pPr>
        <w:pStyle w:val="Normal"/>
        <w:tabs>
          <w:tab w:val="clear" w:pos="708"/>
        </w:tabs>
        <w:ind w:hanging="360" w:left="709" w:right="0"/>
        <w:jc w:val="both"/>
        <w:rPr>
          <w:rFonts w:ascii="Calibri" w:hAnsi="Calibri" w:cs="Calibri"/>
          <w:bCs/>
          <w:sz w:val="28"/>
          <w:szCs w:val="28"/>
        </w:rPr>
      </w:pPr>
      <w:r>
        <w:rPr>
          <w:rFonts w:cs="Calibri" w:ascii="Calibri" w:hAnsi="Calibri"/>
          <w:bCs/>
          <w:sz w:val="28"/>
          <w:szCs w:val="28"/>
        </w:rPr>
        <w:t>Calcáreas bioclásticas blanquecinas i calcáreas arrecifales (Languiense). Rocas sedimentáreas de orígen marino, que representan ambientes de plataforma carbanatada muy bien desenvolupadas durante una fase de transgresión marina generalizada en toda la cuenca.</w:t>
      </w:r>
    </w:p>
    <w:p>
      <w:pPr>
        <w:pStyle w:val="Normal"/>
        <w:tabs>
          <w:tab w:val="clear" w:pos="708"/>
        </w:tabs>
        <w:ind w:hanging="360" w:left="709" w:right="0"/>
        <w:jc w:val="both"/>
        <w:rPr>
          <w:rFonts w:ascii="Calibri" w:hAnsi="Calibri" w:cs="Calibri"/>
          <w:bCs/>
          <w:sz w:val="28"/>
          <w:szCs w:val="28"/>
        </w:rPr>
      </w:pPr>
      <w:r>
        <w:rPr>
          <w:rFonts w:cs="Calibri" w:ascii="Calibri" w:hAnsi="Calibri"/>
          <w:bCs/>
          <w:sz w:val="28"/>
          <w:szCs w:val="28"/>
        </w:rPr>
        <w:t>Arcillas, areniscas y conglomerados (Mioceno superior).</w:t>
      </w:r>
    </w:p>
    <w:p>
      <w:pPr>
        <w:pStyle w:val="Normal"/>
        <w:tabs>
          <w:tab w:val="clear" w:pos="708"/>
        </w:tabs>
        <w:ind w:left="709" w:right="0"/>
        <w:jc w:val="both"/>
        <w:rPr>
          <w:rFonts w:ascii="Calibri" w:hAnsi="Calibri" w:cs="Calibri"/>
          <w:bCs/>
          <w:sz w:val="28"/>
          <w:szCs w:val="28"/>
        </w:rPr>
      </w:pPr>
      <w:r>
        <w:rPr>
          <w:rFonts w:cs="Calibri" w:ascii="Calibri" w:hAnsi="Calibri"/>
          <w:bCs/>
          <w:sz w:val="28"/>
          <w:szCs w:val="28"/>
        </w:rPr>
        <w:t>Calcarenitas arrecifales, arcillas azules, margas con intercalaciones calcáreas y calcáreas micríticas (Mioceno superior). Estas unidades corresponden a ambientes marinos y tienen una representación menor dentro de la cuenca.</w:t>
      </w:r>
    </w:p>
    <w:p>
      <w:pPr>
        <w:pStyle w:val="Normal"/>
        <w:jc w:val="both"/>
        <w:rPr>
          <w:rFonts w:ascii="Calibri" w:hAnsi="Calibri" w:cs="Calibri"/>
          <w:bCs/>
          <w:sz w:val="28"/>
          <w:szCs w:val="28"/>
        </w:rPr>
      </w:pPr>
      <w:r>
        <w:rPr>
          <w:rFonts w:cs="Calibri" w:ascii="Calibri" w:hAnsi="Calibri"/>
          <w:bCs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Finalmente, por encima de la série miocena, se extienden los materiales cuaternarios, asociados principalmente a la actividad de abanicos aluviales antiguos.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Verdana" w:hAnsi="Verdana" w:cs="Verdana"/>
          <w:sz w:val="28"/>
          <w:szCs w:val="28"/>
        </w:rPr>
      </w:pPr>
      <w:r>
        <w:rPr>
          <w:rFonts w:cs="Verdana" w:ascii="Verdana" w:hAnsi="Verdana"/>
          <w:sz w:val="28"/>
          <w:szCs w:val="28"/>
        </w:rPr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Tahoma" w:hAnsi="Tahoma" w:cs="Tahoma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" w:hAnsi="Tahoma" w:cs="Tahoma"/>
      <w:b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Tahoma" w:hAnsi="Tahoma" w:cs="Tahoma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/>
    <w:rPr>
      <w:rFonts w:ascii="Tahoma" w:hAnsi="Tahoma" w:cs="Tahoma"/>
      <w:sz w:val="24"/>
    </w:rPr>
  </w:style>
  <w:style w:type="paragraph" w:styleId="BodyText2">
    <w:name w:val="Body Text 2"/>
    <w:basedOn w:val="Normal"/>
    <w:qFormat/>
    <w:pPr>
      <w:ind w:hanging="0" w:left="708" w:right="0"/>
    </w:pPr>
    <w:rPr>
      <w:rFonts w:ascii="Tahoma" w:hAnsi="Tahoma" w:cs="Tahoma"/>
      <w:sz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2009-09-15T08:18:00Z</dcterms:created>
  <dc:creator>user</dc:creator>
  <dc:description/>
  <cp:keywords/>
  <dc:language>en-US</dc:language>
  <cp:lastModifiedBy>marc@g3dt.com</cp:lastModifiedBy>
  <dcterms:modified xsi:type="dcterms:W3CDTF">2010-04-06T15:51:00Z</dcterms:modified>
  <cp:revision>4</cp:revision>
  <dc:subject/>
  <dc:title>3</dc:title>
</cp:coreProperties>
</file>