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0"/>
        <w:rPr/>
      </w:pPr>
      <w:r>
        <w:rPr/>
        <w:t>Marco geológico de la Robagorza</w:t>
      </w:r>
    </w:p>
    <w:p>
      <w:pPr>
        <w:pStyle w:val="Normal"/>
        <w:rPr>
          <w:rFonts w:ascii="Verdana" w:hAnsi="Verdana" w:cs="Verdana"/>
          <w:b/>
          <w:bCs/>
          <w:lang w:val="es-ES"/>
        </w:rPr>
      </w:pPr>
      <w:r>
        <w:rPr>
          <w:rFonts w:cs="Verdana" w:ascii="Verdana" w:hAnsi="Verdana"/>
          <w:b/>
          <w:bCs/>
          <w:lang w:val="es-ES"/>
        </w:rPr>
      </w:r>
    </w:p>
    <w:p>
      <w:pPr>
        <w:pStyle w:val="Normal"/>
        <w:rPr>
          <w:rFonts w:ascii="Verdana" w:hAnsi="Verdana" w:cs="Verdana"/>
          <w:b/>
          <w:bCs/>
          <w:lang w:val="es-ES"/>
        </w:rPr>
      </w:pPr>
      <w:r>
        <w:rPr>
          <w:rFonts w:cs="Verdana" w:ascii="Verdana" w:hAnsi="Verdana"/>
          <w:b/>
          <w:bCs/>
          <w:lang w:val="es-ES"/>
        </w:rPr>
      </w:r>
    </w:p>
    <w:p>
      <w:pPr>
        <w:pStyle w:val="Normal"/>
        <w:rPr>
          <w:rFonts w:ascii="Verdana" w:hAnsi="Verdana" w:cs="Verdana"/>
          <w:lang w:val="es-ES"/>
        </w:rPr>
      </w:pPr>
      <w:r>
        <w:rPr>
          <w:rFonts w:cs="Verdana" w:ascii="Verdana" w:hAnsi="Verdana"/>
          <w:lang w:val="es-ES"/>
        </w:rPr>
        <w:t>En primer lugar se ha procedido a la consulta de las diferentes cartografías geológicas existentes sobre la zona</w:t>
      </w:r>
    </w:p>
    <w:p>
      <w:pPr>
        <w:pStyle w:val="Normal"/>
        <w:numPr>
          <w:ilvl w:val="0"/>
          <w:numId w:val="2"/>
        </w:numPr>
        <w:rPr>
          <w:rFonts w:ascii="Verdana" w:hAnsi="Verdana" w:cs="Verdana"/>
          <w:lang w:val="es-ES"/>
        </w:rPr>
      </w:pPr>
      <w:r>
        <w:rPr>
          <w:rFonts w:cs="Verdana" w:ascii="Verdana" w:hAnsi="Verdana"/>
          <w:lang w:val="es-ES"/>
        </w:rPr>
        <w:t>Hoja 05: Alta Ribagorça, del Mapa geológico comarcal de Cataluña, 150000 del ICC, 2007.</w:t>
      </w:r>
    </w:p>
    <w:p>
      <w:pPr>
        <w:pStyle w:val="Normal"/>
        <w:numPr>
          <w:ilvl w:val="0"/>
          <w:numId w:val="2"/>
        </w:numPr>
        <w:rPr>
          <w:rFonts w:ascii="Verdana" w:hAnsi="Verdana" w:cs="Verdana"/>
          <w:lang w:val="es-ES"/>
        </w:rPr>
      </w:pPr>
      <w:r>
        <w:rPr>
          <w:rFonts w:cs="Verdana" w:ascii="Verdana" w:hAnsi="Verdana"/>
          <w:lang w:val="es-ES"/>
        </w:rPr>
        <w:t>Hoja 213: EL Pont de Suert; Hoja 214: Sort, del Mapa geológico de España, 150000 de l’IGME, 1975.</w:t>
      </w:r>
    </w:p>
    <w:p>
      <w:pPr>
        <w:pStyle w:val="Normal"/>
        <w:rPr>
          <w:rFonts w:ascii="Verdana" w:hAnsi="Verdana" w:cs="Verdana"/>
          <w:b/>
          <w:bCs/>
          <w:lang w:val="es-ES"/>
        </w:rPr>
      </w:pPr>
      <w:r>
        <w:rPr>
          <w:rFonts w:cs="Verdana" w:ascii="Verdana" w:hAnsi="Verdana"/>
          <w:b/>
          <w:bCs/>
          <w:lang w:val="es-ES"/>
        </w:rPr>
      </w:r>
    </w:p>
    <w:p>
      <w:pPr>
        <w:pStyle w:val="BodyText"/>
        <w:rPr>
          <w:lang w:val="es-ES"/>
        </w:rPr>
      </w:pPr>
      <w:r>
        <w:rPr>
          <w:lang w:val="es-ES"/>
        </w:rPr>
        <w:t>La zona de estudio está situada en la comarca de la Ribagorza, emplazada en los Pirineos. Esta cadena montañosa se originó como consecuencia de la colisión entre la placa Ibérica y la Europea durante el Cretácico superior y Paleoceno.</w:t>
      </w:r>
    </w:p>
    <w:p>
      <w:pPr>
        <w:pStyle w:val="Normal"/>
        <w:jc w:val="both"/>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En los Pirineos centrales y orientales se distingue una zona meridional con estructuras vergentes hacia el S y una zona septentrional con vergencia N. La zona central de la cadena Pirenaica o zona Axial, donde se sitúa la zona estudiada, está formada por rocas paleozoicas del basamento hercínico, donde encontramos al N el domo del Noguera Pallaresa y al S el domo de Orri formados por materiales sedimentarios del cambroordovició, entre los que se encuentra el sinclinal de Llavorsí separado de los domos por las pizarras del Siluriano que actúan como nivel desenganchante. Estos materiales presentan una deformación polifàsica constituida básicamente por varias generaciones de pliegues acompañados de foliación tectónica de escala regional. También se observan encabalgamientos con las diferentes fases de plegamientos, produciéndose en condiciones de metamorfismo bajo,</w:t>
      </w:r>
    </w:p>
    <w:p>
      <w:pPr>
        <w:pStyle w:val="Normal"/>
        <w:jc w:val="both"/>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Al final de la deformación Hercínica se produjo la intrusión de rocas plutónicas originando el metamorfismo de contacto.</w:t>
      </w:r>
    </w:p>
    <w:p>
      <w:pPr>
        <w:pStyle w:val="Normal"/>
        <w:jc w:val="both"/>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Al Sur de la comarca se depositan materiales tardihercinianos en contacto en los materiales paleozoicos de la zona axial, los mesozoicos y terciarios de las sierras sur pirenaicas. Estos terrenos están formados por areniscas, lutitas y capas de carbón del Estefaniense además de los materiales de carácter detrítico del Pérmico, de coloración roja, depositados entre manifestaciones volcánicas.</w:t>
      </w:r>
    </w:p>
    <w:p>
      <w:pPr>
        <w:pStyle w:val="Normal"/>
        <w:jc w:val="both"/>
        <w:rPr>
          <w:rFonts w:ascii="Verdana" w:hAnsi="Verdana" w:cs="Verdana"/>
          <w:lang w:val="es-ES"/>
        </w:rPr>
      </w:pPr>
      <w:r>
        <w:rPr>
          <w:rFonts w:cs="Verdana" w:ascii="Verdana" w:hAnsi="Verdana"/>
          <w:lang w:val="es-ES"/>
        </w:rPr>
      </w:r>
    </w:p>
    <w:p>
      <w:pPr>
        <w:pStyle w:val="Normal"/>
        <w:jc w:val="both"/>
        <w:rPr>
          <w:rFonts w:ascii="Verdana" w:hAnsi="Verdana" w:cs="Verdana"/>
          <w:lang w:val="es-ES"/>
        </w:rPr>
      </w:pPr>
      <w:r>
        <w:rPr>
          <w:rFonts w:cs="Verdana" w:ascii="Verdana" w:hAnsi="Verdana"/>
          <w:lang w:val="es-ES"/>
        </w:rPr>
        <w:t>Posteriormente estas rocas fueron afectadas por la deformación Alpina, responsable de la actual cadena montañosa. Esta deformación se manifiesta en la rocas paleozoicas por el desarrollo de cabalgamientos, pliegues y foliaciones tectónicas que se superponen a las estructuras existentes.</w:t>
      </w:r>
    </w:p>
    <w:p>
      <w:pPr>
        <w:pStyle w:val="Normal"/>
        <w:jc w:val="both"/>
        <w:rPr>
          <w:rFonts w:ascii="Verdana" w:hAnsi="Verdana" w:cs="Verdana"/>
          <w:lang w:val="es-ES"/>
        </w:rPr>
      </w:pPr>
      <w:r>
        <w:rPr>
          <w:rFonts w:cs="Verdana" w:ascii="Verdana" w:hAnsi="Verdana"/>
          <w:lang w:val="es-ES"/>
        </w:rPr>
      </w:r>
    </w:p>
    <w:p>
      <w:pPr>
        <w:pStyle w:val="BodyText"/>
        <w:rPr>
          <w:lang w:val="es-ES"/>
        </w:rPr>
      </w:pPr>
      <w:r>
        <w:rPr>
          <w:lang w:val="es-ES"/>
        </w:rPr>
        <w:t>El relieve de esta zona también ha estado condiciona por la acción de los glaciares cuaternarios y los cursos de agua, dando los característicos circos glaciares, morrenas y valles.</w:t>
      </w:r>
    </w:p>
    <w:p>
      <w:pPr>
        <w:pStyle w:val="Normal"/>
        <w:rPr>
          <w:rFonts w:ascii="Verdana" w:hAnsi="Verdana" w:cs="Verdana"/>
          <w:lang w:val="es-ES"/>
        </w:rPr>
      </w:pPr>
      <w:r>
        <w:rPr>
          <w:rFonts w:cs="Verdana" w:ascii="Verdana" w:hAnsi="Verdana"/>
          <w:lang w:val="es-ES"/>
        </w:rPr>
      </w:r>
    </w:p>
    <w:sectPr>
      <w:type w:val="nextPage"/>
      <w:pgSz w:w="11906" w:h="16838"/>
      <w:pgMar w:left="1701" w:right="1701"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paragraph" w:styleId="Heading1">
    <w:name w:val="Heading 1"/>
    <w:basedOn w:val="Normal"/>
    <w:next w:val="Normal"/>
    <w:qFormat/>
    <w:pPr>
      <w:keepNext w:val="true"/>
      <w:numPr>
        <w:ilvl w:val="0"/>
        <w:numId w:val="1"/>
      </w:numPr>
      <w:outlineLvl w:val="0"/>
    </w:pPr>
    <w:rPr>
      <w:rFonts w:ascii="Verdana" w:hAnsi="Verdana" w:cs="Verdana"/>
      <w:b/>
      <w:bCs/>
      <w:lang w:val="es-E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2004-04-28T09:14:00Z</dcterms:created>
  <dc:creator>Irene</dc:creator>
  <dc:description/>
  <cp:keywords/>
  <dc:language>en-US</dc:language>
  <cp:lastModifiedBy>marc@g3dt.com</cp:lastModifiedBy>
  <cp:lastPrinted>2002-05-27T11:01:00Z</cp:lastPrinted>
  <dcterms:modified xsi:type="dcterms:W3CDTF">2010-04-06T16:12:00Z</dcterms:modified>
  <cp:revision>3</cp:revision>
  <dc:subject/>
  <dc:title>Història geològica dels Pirineus</dc:title>
</cp:coreProperties>
</file>