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ind w:firstLine="708" w:left="3540" w:right="0"/>
        <w:jc w:val="both"/>
        <w:rPr>
          <w:rFonts w:ascii="Verdana" w:hAnsi="Verdana" w:cs="Verdana"/>
        </w:rPr>
      </w:pPr>
      <w:r>
        <w:rPr>
          <w:rFonts w:cs="Verdana" w:ascii="Verdana" w:hAnsi="Verdana"/>
          <w:b/>
        </w:rPr>
        <w:t>3.1. Marco geológico</w:t>
      </w:r>
    </w:p>
    <w:p>
      <w:pPr>
        <w:pStyle w:val="BodyText2"/>
        <w:ind w:firstLine="708" w:right="0"/>
        <w:jc w:val="both"/>
        <w:rPr>
          <w:rFonts w:ascii="Verdana" w:hAnsi="Verdana" w:cs="Verdana"/>
          <w:lang w:val="en-US" w:eastAsia="en-US"/>
        </w:rPr>
      </w:pPr>
      <w:r>
        <w:rPr>
          <w:rFonts w:cs="Verdana" w:ascii="Verdana" w:hAnsi="Verdana"/>
          <w:lang w:val="en-US" w:eastAsia="en-US"/>
        </w:rPr>
        <mc:AlternateContent>
          <mc:Choice Requires="wps">
            <w:drawing>
              <wp:anchor behindDoc="0" distT="0" distB="0" distL="114935" distR="114935" simplePos="0" locked="0" layoutInCell="1" allowOverlap="1" relativeHeight="2">
                <wp:simplePos x="0" y="0"/>
                <wp:positionH relativeFrom="column">
                  <wp:posOffset>2486025</wp:posOffset>
                </wp:positionH>
                <wp:positionV relativeFrom="paragraph">
                  <wp:posOffset>92075</wp:posOffset>
                </wp:positionV>
                <wp:extent cx="3749040" cy="0"/>
                <wp:effectExtent l="0" t="5080" r="0" b="5080"/>
                <wp:wrapNone/>
                <wp:docPr id="1" name=""/>
                <a:graphic xmlns:a="http://schemas.openxmlformats.org/drawingml/2006/main">
                  <a:graphicData uri="http://schemas.microsoft.com/office/word/2010/wordprocessingShape">
                    <wps:wsp>
                      <wps:cNvSpPr/>
                      <wps:spPr>
                        <a:xfrm>
                          <a:off x="0" y="0"/>
                          <a:ext cx="3749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5.75pt,7.25pt" to="490.9pt,7.25pt" stroked="t" o:allowincell="f" style="position:absolute">
                <v:stroke color="black" weight="9360" joinstyle="miter" endcap="flat"/>
                <v:fill o:detectmouseclick="t" on="false"/>
                <w10:wrap type="none"/>
              </v:line>
            </w:pict>
          </mc:Fallback>
        </mc:AlternateContent>
      </w:r>
    </w:p>
    <w:p>
      <w:pPr>
        <w:pStyle w:val="Textoindependiente2"/>
        <w:spacing w:lineRule="auto" w:line="240"/>
        <w:ind w:firstLine="708" w:right="0"/>
        <w:rPr>
          <w:rFonts w:ascii="Verdana" w:hAnsi="Verdana" w:cs="Verdana"/>
          <w:b/>
          <w:sz w:val="24"/>
        </w:rPr>
      </w:pPr>
      <w:r>
        <w:rPr>
          <w:rFonts w:cs="Verdana" w:ascii="Verdana" w:hAnsi="Verdana"/>
          <w:b/>
          <w:sz w:val="24"/>
        </w:rPr>
      </w:r>
    </w:p>
    <w:p>
      <w:pPr>
        <w:pStyle w:val="Normal"/>
        <w:rPr>
          <w:rFonts w:ascii="Calibri" w:hAnsi="Calibri" w:eastAsia="Times" w:cs="Calibri"/>
          <w:sz w:val="28"/>
          <w:szCs w:val="28"/>
        </w:rPr>
      </w:pPr>
      <w:r>
        <w:rPr>
          <w:rFonts w:eastAsia="Times" w:cs="Calibri" w:ascii="Calibri" w:hAnsi="Calibri"/>
          <w:sz w:val="28"/>
          <w:szCs w:val="28"/>
        </w:rPr>
        <w:t>En primer lugar se ha procedido a la consulta de las diferentes cartografías geológicas existentes sobre la zona</w:t>
      </w:r>
    </w:p>
    <w:p>
      <w:pPr>
        <w:pStyle w:val="Normal"/>
        <w:numPr>
          <w:ilvl w:val="0"/>
          <w:numId w:val="1"/>
        </w:numPr>
        <w:rPr>
          <w:rFonts w:ascii="Calibri" w:hAnsi="Calibri" w:eastAsia="Times" w:cs="Calibri"/>
          <w:sz w:val="28"/>
          <w:szCs w:val="28"/>
        </w:rPr>
      </w:pPr>
      <w:r>
        <w:rPr>
          <w:rFonts w:eastAsia="Times" w:cs="Calibri" w:ascii="Calibri" w:hAnsi="Calibri"/>
          <w:sz w:val="28"/>
          <w:szCs w:val="28"/>
        </w:rPr>
        <w:t>Hoja 15: Cerdanya, del Mapa geológico comarcal de Cataluña, 150000 del ICC, 2006.</w:t>
      </w:r>
    </w:p>
    <w:p>
      <w:pPr>
        <w:pStyle w:val="Normal"/>
        <w:numPr>
          <w:ilvl w:val="0"/>
          <w:numId w:val="1"/>
        </w:numPr>
        <w:rPr>
          <w:rFonts w:ascii="Calibri" w:hAnsi="Calibri" w:eastAsia="Times" w:cs="Calibri"/>
          <w:sz w:val="28"/>
          <w:szCs w:val="28"/>
        </w:rPr>
      </w:pPr>
      <w:r>
        <w:rPr>
          <w:rFonts w:eastAsia="Times" w:cs="Calibri" w:ascii="Calibri" w:hAnsi="Calibri"/>
          <w:sz w:val="28"/>
          <w:szCs w:val="28"/>
        </w:rPr>
        <w:t>Hoja 217: Puigcerdá, del Mapa geológico de España, 150000 de l’IGME, 1995.</w:t>
      </w:r>
    </w:p>
    <w:p>
      <w:pPr>
        <w:pStyle w:val="Normal"/>
        <w:jc w:val="both"/>
        <w:rPr>
          <w:rFonts w:ascii="Verdana" w:hAnsi="Verdana" w:eastAsia="Times" w:cs="Verdana"/>
          <w:sz w:val="28"/>
          <w:szCs w:val="28"/>
        </w:rPr>
      </w:pPr>
      <w:r>
        <w:rPr>
          <w:rFonts w:eastAsia="Times" w:cs="Verdana" w:ascii="Verdana" w:hAnsi="Verdana"/>
          <w:sz w:val="28"/>
          <w:szCs w:val="28"/>
        </w:rPr>
      </w:r>
    </w:p>
    <w:p>
      <w:pPr>
        <w:pStyle w:val="Normal"/>
        <w:jc w:val="both"/>
        <w:rPr>
          <w:rFonts w:ascii="Verdana" w:hAnsi="Verdana" w:cs="Verdana"/>
        </w:rPr>
      </w:pPr>
      <w:r>
        <w:rPr>
          <w:rFonts w:cs="Verdana" w:ascii="Verdana" w:hAnsi="Verdana"/>
        </w:rPr>
        <w:t>La zona estudiada está situada en la comarca de la Cerdanya, en los Pirineos Orientales, los cuáles se erigieron a consecuencia de la colisión entre la placa Ibérica y la Europea durante el Cretácico superior y Paleoceno.</w:t>
      </w:r>
    </w:p>
    <w:p>
      <w:pPr>
        <w:pStyle w:val="Normal"/>
        <w:jc w:val="both"/>
        <w:rPr>
          <w:rFonts w:ascii="Verdana" w:hAnsi="Verdana" w:eastAsia="Verdana" w:cs="Verdana"/>
        </w:rPr>
      </w:pPr>
      <w:r>
        <w:rPr>
          <w:rFonts w:eastAsia="Verdana" w:cs="Verdana" w:ascii="Verdana" w:hAnsi="Verdana"/>
        </w:rPr>
        <w:t xml:space="preserve"> </w:t>
      </w:r>
    </w:p>
    <w:p>
      <w:pPr>
        <w:pStyle w:val="BodyText"/>
        <w:jc w:val="both"/>
        <w:rPr/>
      </w:pPr>
      <w:r>
        <w:rPr>
          <w:rFonts w:cs="Verdana" w:ascii="Verdana" w:hAnsi="Verdana"/>
        </w:rPr>
        <w:t>En los Pirineos centrales se distingue una zona meridional con estructuras vergentes al S y una zona septentrional con vergéncia al N. La zona central de la cordillera o zona Axial, está formada por rocas paleozoicas del basamento hercínico. Éstos materiales presentan una deformación polifásica constituida básicamente por varias generaciones de pliegues acompañados de foliación tectónica de escala regional. También se observan encavalcamientos con las diferentes fases de plegamiento, produciéndose en condiciones de bajo metamorfismo.</w:t>
      </w:r>
      <w:r>
        <w:rPr/>
        <w:t xml:space="preserve"> </w:t>
      </w:r>
    </w:p>
    <w:p>
      <w:pPr>
        <w:pStyle w:val="BodyText"/>
        <w:rPr/>
      </w:pPr>
      <w:r>
        <w:rPr/>
      </w:r>
    </w:p>
    <w:p>
      <w:pPr>
        <w:pStyle w:val="Textoindependiente2"/>
        <w:spacing w:lineRule="auto" w:line="240"/>
        <w:rPr>
          <w:rFonts w:ascii="Verdana" w:hAnsi="Verdana" w:cs="Verdana"/>
          <w:sz w:val="24"/>
        </w:rPr>
      </w:pPr>
      <w:r>
        <w:rPr>
          <w:rFonts w:cs="Verdana" w:ascii="Verdana" w:hAnsi="Verdana"/>
          <w:sz w:val="24"/>
        </w:rPr>
        <w:t>Al final de la deformación Hercínica tuvo lugar la intrusión de las rocas plutónicas originando el metamorfismo de contacto.</w:t>
      </w:r>
    </w:p>
    <w:p>
      <w:pPr>
        <w:pStyle w:val="Normal"/>
        <w:jc w:val="both"/>
        <w:rPr>
          <w:rFonts w:ascii="Verdana" w:hAnsi="Verdana" w:cs="Verdana"/>
          <w:sz w:val="24"/>
        </w:rPr>
      </w:pPr>
      <w:r>
        <w:rPr>
          <w:rFonts w:cs="Verdana" w:ascii="Verdana" w:hAnsi="Verdana"/>
          <w:sz w:val="24"/>
        </w:rPr>
      </w:r>
    </w:p>
    <w:p>
      <w:pPr>
        <w:pStyle w:val="Textoindependiente3"/>
        <w:rPr>
          <w:rFonts w:ascii="Verdana" w:hAnsi="Verdana" w:cs="Verdana"/>
        </w:rPr>
      </w:pPr>
      <w:r>
        <w:rPr>
          <w:rFonts w:cs="Verdana" w:ascii="Verdana" w:hAnsi="Verdana"/>
        </w:rPr>
        <w:t>Posteriormente estas rocas fueron involucradas en la deformación alpina, responsable de la actual cordillera. Esta deformación se manifiesta en las rocas paleozoicas por el mediante el desarrollo de encavalcamientos, pliegues y foliaciones tectónicas que se sobreponen a las estructuras existentes.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Como unidades destacadas se observa la fosa de la Cerdanya, cubeta neógena con conglomerados y lutitas rojizas del Mioceno en contacto con depósitos cuaternarios sedimentados discordantemente. Esta fosa limitada a S y SE por la falla de la Tet, que a su tiempo está en contacto con el manto del Cadí y más al Sud con el manto del Pedraforca, ambos constituidos por materiales del zócalo herciniano y por una potente capa cobertera representada por secuencias paleógenas. </w:t>
      </w:r>
    </w:p>
    <w:p>
      <w:pPr>
        <w:pStyle w:val="Normal"/>
        <w:jc w:val="both"/>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El relieve de esta zona tambien ha sido condicionado por los glaciares cuaternarios y los cursos de agua con el resultado de circos glaciares, morrenas y valles.</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En el caso del presente estudio nos situamos sobre materiales cuaternarios de origen aluvial-fluvial y de las margas-lutitas miocenas.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szCs w:val="20"/>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Cs w:val="20"/>
      <w:lang w:val="es-ES_tradnl"/>
    </w:rPr>
  </w:style>
  <w:style w:type="paragraph" w:styleId="Textoindependiente2">
    <w:name w:val="Texto independiente 2"/>
    <w:basedOn w:val="Normal"/>
    <w:qFormat/>
    <w:pPr>
      <w:spacing w:lineRule="auto" w:line="360"/>
      <w:jc w:val="both"/>
    </w:pPr>
    <w:rPr>
      <w:sz w:val="20"/>
      <w:szCs w:val="20"/>
      <w:lang w:val="es-ES_tradnl"/>
    </w:rPr>
  </w:style>
  <w:style w:type="paragraph" w:styleId="Textoindependiente3">
    <w:name w:val="Texto independiente 3"/>
    <w:basedOn w:val="Normal"/>
    <w:qFormat/>
    <w:pPr>
      <w:jc w:val="both"/>
    </w:pPr>
    <w:rPr>
      <w:rFonts w:ascii="Tahoma" w:hAnsi="Tahoma" w:cs="Tahoma"/>
      <w:szCs w:val="20"/>
      <w:lang w:val="es-ES_tradn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2007-05-03T12:55:00Z</dcterms:created>
  <dc:creator>G3 - Desenvolupament Territorial</dc:creator>
  <dc:description/>
  <cp:keywords/>
  <dc:language>en-US</dc:language>
  <cp:lastModifiedBy>marc@g3dt.com</cp:lastModifiedBy>
  <dcterms:modified xsi:type="dcterms:W3CDTF">2010-04-06T15:56:00Z</dcterms:modified>
  <cp:revision>2</cp:revision>
  <dc:subject/>
  <dc:title>3</dc:title>
</cp:coreProperties>
</file>