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2"/>
        <w:ind w:left="0" w:right="0"/>
        <w:jc w:val="both"/>
        <w:rPr>
          <w:rFonts w:ascii="Verdana" w:hAnsi="Verdana" w:cs="Verdana"/>
          <w:b/>
        </w:rPr>
      </w:pPr>
      <w:r>
        <w:rPr>
          <w:rFonts w:cs="Verdana" w:ascii="Verdana" w:hAnsi="Verdana"/>
          <w:b/>
        </w:rPr>
        <w:t>3. DESCRIPCIÓ GEOLÒGICA I GEOTÈCNICA:</w:t>
      </w:r>
    </w:p>
    <w:p>
      <w:pPr>
        <w:pStyle w:val="BodyText2"/>
        <w:ind w:left="0" w:right="0"/>
        <w:jc w:val="both"/>
        <w:rPr>
          <w:rFonts w:ascii="Verdana" w:hAnsi="Verdana" w:cs="Verdana"/>
          <w:b/>
          <w:lang w:val="en-US" w:eastAsia="en-US"/>
        </w:rPr>
      </w:pPr>
      <w:r>
        <w:rPr>
          <w:rFonts w:cs="Verdana" w:ascii="Verdana" w:hAnsi="Verdana"/>
          <w:b/>
          <w:lang w:val="en-US" w:eastAsia="en-US"/>
        </w:rPr>
        <mc:AlternateContent>
          <mc:Choice Requires="wps">
            <w:drawing>
              <wp:anchor behindDoc="0" distT="0" distB="0" distL="114935" distR="114935" simplePos="0" locked="0" layoutInCell="1" allowOverlap="1" relativeHeight="3">
                <wp:simplePos x="0" y="0"/>
                <wp:positionH relativeFrom="column">
                  <wp:posOffset>-165735</wp:posOffset>
                </wp:positionH>
                <wp:positionV relativeFrom="paragraph">
                  <wp:posOffset>71755</wp:posOffset>
                </wp:positionV>
                <wp:extent cx="4572000" cy="0"/>
                <wp:effectExtent l="0" t="19050" r="0" b="19050"/>
                <wp:wrapNone/>
                <wp:docPr id="1" name=""/>
                <a:graphic xmlns:a="http://schemas.openxmlformats.org/drawingml/2006/main">
                  <a:graphicData uri="http://schemas.microsoft.com/office/word/2010/wordprocessingShape">
                    <wps:wsp>
                      <wps:cNvSpPr/>
                      <wps:spPr>
                        <a:xfrm>
                          <a:off x="0" y="0"/>
                          <a:ext cx="4572000" cy="0"/>
                        </a:xfrm>
                        <a:prstGeom prst="line">
                          <a:avLst/>
                        </a:prstGeom>
                        <a:ln w="38160">
                          <a:solidFill>
                            <a:srgbClr val="000000"/>
                          </a:solidFill>
                          <a:miter/>
                        </a:ln>
                      </wps:spPr>
                      <wps:style>
                        <a:lnRef idx="0"/>
                        <a:fillRef idx="0"/>
                        <a:effectRef idx="0"/>
                        <a:fontRef idx="minor"/>
                      </wps:style>
                      <wps:bodyPr/>
                    </wps:wsp>
                  </a:graphicData>
                </a:graphic>
              </wp:anchor>
            </w:drawing>
          </mc:Choice>
          <mc:Fallback>
            <w:pict>
              <v:line id="shape_0" from="-13.05pt,5.65pt" to="346.9pt,5.65pt" stroked="t" o:allowincell="f" style="position:absolute">
                <v:stroke color="black" weight="38160" joinstyle="miter" endcap="flat"/>
                <v:fill o:detectmouseclick="t" on="false"/>
                <w10:wrap type="none"/>
              </v:line>
            </w:pict>
          </mc:Fallback>
        </mc:AlternateContent>
      </w:r>
    </w:p>
    <w:p>
      <w:pPr>
        <w:pStyle w:val="BodyText2"/>
        <w:ind w:left="0" w:right="0"/>
        <w:jc w:val="both"/>
        <w:rPr>
          <w:rFonts w:ascii="Verdana" w:hAnsi="Verdana" w:cs="Verdana"/>
          <w:b/>
        </w:rPr>
      </w:pPr>
      <w:r>
        <w:rPr>
          <w:rFonts w:cs="Verdana" w:ascii="Verdana" w:hAnsi="Verdana"/>
          <w:b/>
        </w:rPr>
      </w:r>
    </w:p>
    <w:p>
      <w:pPr>
        <w:pStyle w:val="BodyText2"/>
        <w:ind w:firstLine="708" w:left="3540" w:right="0"/>
        <w:jc w:val="both"/>
        <w:rPr>
          <w:rFonts w:ascii="Verdana" w:hAnsi="Verdana" w:cs="Verdana"/>
        </w:rPr>
      </w:pPr>
      <w:r>
        <w:rPr>
          <w:rFonts w:eastAsia="Verdana" w:cs="Verdana" w:ascii="Verdana" w:hAnsi="Verdana"/>
          <w:b/>
        </w:rPr>
        <w:t xml:space="preserve">     </w:t>
      </w:r>
      <w:r>
        <w:rPr>
          <w:rFonts w:cs="Verdana" w:ascii="Verdana" w:hAnsi="Verdana"/>
          <w:b/>
        </w:rPr>
        <w:t>3.1. Marc geològic</w:t>
      </w:r>
    </w:p>
    <w:p>
      <w:pPr>
        <w:pStyle w:val="BodyText2"/>
        <w:ind w:left="0" w:right="0"/>
        <w:jc w:val="both"/>
        <w:rPr>
          <w:rFonts w:ascii="Verdana" w:hAnsi="Verdana" w:cs="Verdana"/>
          <w:lang w:val="en-US" w:eastAsia="en-US"/>
        </w:rPr>
      </w:pPr>
      <w:r>
        <w:rPr>
          <w:rFonts w:cs="Verdana" w:ascii="Verdana" w:hAnsi="Verdana"/>
          <w:lang w:val="en-US" w:eastAsia="en-US"/>
        </w:rPr>
        <mc:AlternateContent>
          <mc:Choice Requires="wps">
            <w:drawing>
              <wp:anchor behindDoc="0" distT="0" distB="0" distL="114935" distR="114935" simplePos="0" locked="0" layoutInCell="1" allowOverlap="1" relativeHeight="2">
                <wp:simplePos x="0" y="0"/>
                <wp:positionH relativeFrom="column">
                  <wp:posOffset>2486025</wp:posOffset>
                </wp:positionH>
                <wp:positionV relativeFrom="paragraph">
                  <wp:posOffset>92075</wp:posOffset>
                </wp:positionV>
                <wp:extent cx="3749040" cy="0"/>
                <wp:effectExtent l="0" t="5080" r="0" b="5080"/>
                <wp:wrapNone/>
                <wp:docPr id="2" name=""/>
                <a:graphic xmlns:a="http://schemas.openxmlformats.org/drawingml/2006/main">
                  <a:graphicData uri="http://schemas.microsoft.com/office/word/2010/wordprocessingShape">
                    <wps:wsp>
                      <wps:cNvSpPr/>
                      <wps:spPr>
                        <a:xfrm>
                          <a:off x="0" y="0"/>
                          <a:ext cx="37490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95.75pt,7.25pt" to="490.9pt,7.25pt" stroked="t" o:allowincell="f" style="position:absolute">
                <v:stroke color="black" weight="9360" joinstyle="miter" endcap="flat"/>
                <v:fill o:detectmouseclick="t" on="false"/>
                <w10:wrap type="none"/>
              </v:line>
            </w:pict>
          </mc:Fallback>
        </mc:AlternateContent>
      </w:r>
    </w:p>
    <w:p>
      <w:pPr>
        <w:pStyle w:val="Textoindependiente2"/>
        <w:spacing w:lineRule="auto" w:line="240"/>
        <w:rPr>
          <w:rFonts w:ascii="Verdana" w:hAnsi="Verdana" w:cs="Verdana"/>
          <w:sz w:val="24"/>
          <w:lang w:val="ca-ES"/>
        </w:rPr>
      </w:pPr>
      <w:r>
        <w:rPr>
          <w:rFonts w:cs="Verdana" w:ascii="Verdana" w:hAnsi="Verdana"/>
          <w:sz w:val="24"/>
          <w:lang w:val="ca-ES"/>
        </w:rPr>
      </w:r>
    </w:p>
    <w:p>
      <w:pPr>
        <w:pStyle w:val="BodyText"/>
        <w:rPr>
          <w:rFonts w:ascii="Verdana" w:hAnsi="Verdana" w:cs="Verdana"/>
        </w:rPr>
      </w:pPr>
      <w:r>
        <w:rPr>
          <w:rFonts w:cs="Verdana" w:ascii="Verdana" w:hAnsi="Verdana"/>
        </w:rPr>
        <w:t xml:space="preserve">En primer lloc s’ha procedit a la consulta de les diferents cartografies geològiques existents sobre la zona: </w:t>
      </w:r>
    </w:p>
    <w:p>
      <w:pPr>
        <w:pStyle w:val="BodyText"/>
        <w:rPr>
          <w:rFonts w:ascii="Calibri" w:hAnsi="Calibri" w:cs="Calibri"/>
          <w:sz w:val="28"/>
          <w:szCs w:val="28"/>
        </w:rPr>
      </w:pPr>
      <w:r>
        <w:rPr>
          <w:rFonts w:cs="Calibri" w:ascii="Calibri" w:hAnsi="Calibri"/>
          <w:sz w:val="28"/>
          <w:szCs w:val="28"/>
        </w:rPr>
      </w:r>
    </w:p>
    <w:p>
      <w:pPr>
        <w:pStyle w:val="BodyText"/>
        <w:numPr>
          <w:ilvl w:val="0"/>
          <w:numId w:val="1"/>
        </w:numPr>
        <w:spacing w:before="0" w:after="0"/>
        <w:jc w:val="both"/>
        <w:rPr>
          <w:rFonts w:ascii="Verdana" w:hAnsi="Verdana" w:cs="Verdana"/>
        </w:rPr>
      </w:pPr>
      <w:r>
        <w:rPr>
          <w:rFonts w:cs="Verdana" w:ascii="Verdana" w:hAnsi="Verdana"/>
        </w:rPr>
        <w:t>Full 09: Baix Ebre: Full 22: Montsià, del Mapa geològic comarcal de Catalunya, 1:50000 de l’ICC, 2006.</w:t>
      </w:r>
    </w:p>
    <w:p>
      <w:pPr>
        <w:pStyle w:val="BodyText"/>
        <w:numPr>
          <w:ilvl w:val="0"/>
          <w:numId w:val="1"/>
        </w:numPr>
        <w:spacing w:before="0" w:after="0"/>
        <w:jc w:val="both"/>
        <w:rPr>
          <w:rFonts w:ascii="Verdana" w:hAnsi="Verdana" w:cs="Verdana"/>
        </w:rPr>
      </w:pPr>
      <w:r>
        <w:rPr>
          <w:rFonts w:cs="Verdana" w:ascii="Verdana" w:hAnsi="Verdana"/>
        </w:rPr>
        <w:t>Hoja 522: Tortosa; Hoja 547: Alcanar,  del Mapa geológico de España, 1:50000 de l’IGME, 1979 i 1974.</w:t>
      </w:r>
    </w:p>
    <w:p>
      <w:pPr>
        <w:pStyle w:val="Normal"/>
        <w:jc w:val="both"/>
        <w:rPr>
          <w:rFonts w:ascii="Verdana" w:hAnsi="Verdana" w:cs="Verdana"/>
        </w:rPr>
      </w:pPr>
      <w:r>
        <w:rPr>
          <w:rFonts w:cs="Verdana" w:ascii="Verdana" w:hAnsi="Verdana"/>
        </w:rPr>
      </w:r>
    </w:p>
    <w:p>
      <w:pPr>
        <w:pStyle w:val="Normal"/>
        <w:jc w:val="both"/>
        <w:rPr>
          <w:rFonts w:ascii="Verdana" w:hAnsi="Verdana" w:cs="Verdana"/>
        </w:rPr>
      </w:pPr>
      <w:r>
        <w:rPr>
          <w:rFonts w:cs="Verdana" w:ascii="Verdana" w:hAnsi="Verdana"/>
        </w:rPr>
        <w:t>Aquesta zona s’inclou en el que s’anomena Zona d’Enllaç, a cavall entre la Cadena Ibèrica i la Cadena Costera Catalana, en l’àrea on es produeix intersecció de les falles de sòcol NE-SW i NW-SE.</w:t>
      </w:r>
    </w:p>
    <w:p>
      <w:pPr>
        <w:pStyle w:val="Normal"/>
        <w:jc w:val="both"/>
        <w:rPr>
          <w:rFonts w:ascii="Verdana" w:hAnsi="Verdana" w:cs="Verdana"/>
        </w:rPr>
      </w:pPr>
      <w:r>
        <w:rPr>
          <w:rFonts w:cs="Verdana" w:ascii="Verdana" w:hAnsi="Verdana"/>
        </w:rPr>
      </w:r>
    </w:p>
    <w:p>
      <w:pPr>
        <w:pStyle w:val="Normal"/>
        <w:jc w:val="both"/>
        <w:rPr>
          <w:rFonts w:ascii="Verdana" w:hAnsi="Verdana" w:cs="Verdana"/>
        </w:rPr>
      </w:pPr>
      <w:r>
        <w:rPr>
          <w:rFonts w:cs="Verdana" w:ascii="Verdana" w:hAnsi="Verdana"/>
        </w:rPr>
        <w:t>Els materials paleozoics de la zona sud del Priorat van ser afectats per l’orogènia Herciniana i posteriorment per l’Alpina, existint una clara separació entre la base paleozoica i la cobertora meso-cenozoica.</w:t>
      </w:r>
    </w:p>
    <w:p>
      <w:pPr>
        <w:pStyle w:val="Normal"/>
        <w:jc w:val="both"/>
        <w:rPr>
          <w:rFonts w:ascii="Verdana" w:hAnsi="Verdana" w:cs="Verdana"/>
        </w:rPr>
      </w:pPr>
      <w:r>
        <w:rPr>
          <w:rFonts w:cs="Verdana" w:ascii="Verdana" w:hAnsi="Verdana"/>
        </w:rPr>
      </w:r>
    </w:p>
    <w:p>
      <w:pPr>
        <w:pStyle w:val="Normal"/>
        <w:jc w:val="both"/>
        <w:rPr>
          <w:rFonts w:ascii="Verdana" w:hAnsi="Verdana" w:cs="Verdana"/>
        </w:rPr>
      </w:pPr>
      <w:r>
        <w:rPr>
          <w:rFonts w:cs="Verdana" w:ascii="Verdana" w:hAnsi="Verdana"/>
        </w:rPr>
        <w:t>Sobre la superfície d’erosió pretriàsica es dipositen materials detrítics sota un règim continental que passa a intermareal deixant dipòsits de fàcies carbonàtica. Posteriorment, durant el Keuper es dóna una nova regressió donant lloc a petites conques lagunars on es dipositen evaporites i localment hi ha manifestacions volcàniques</w:t>
      </w:r>
    </w:p>
    <w:p>
      <w:pPr>
        <w:pStyle w:val="Normal"/>
        <w:jc w:val="both"/>
        <w:rPr>
          <w:rFonts w:ascii="Verdana" w:hAnsi="Verdana" w:cs="Verdana"/>
        </w:rPr>
      </w:pPr>
      <w:r>
        <w:rPr>
          <w:rFonts w:cs="Verdana" w:ascii="Verdana" w:hAnsi="Verdana"/>
        </w:rPr>
      </w:r>
    </w:p>
    <w:p>
      <w:pPr>
        <w:pStyle w:val="Textoindependiente3"/>
        <w:rPr>
          <w:rFonts w:ascii="Verdana" w:hAnsi="Verdana" w:cs="Verdana"/>
        </w:rPr>
      </w:pPr>
      <w:r>
        <w:rPr>
          <w:rFonts w:cs="Verdana" w:ascii="Verdana" w:hAnsi="Verdana"/>
        </w:rPr>
        <w:t>Durant el Juràssic es dipositen bretxes dolomítiques i les dolomies taulejades sota un règim de transgressió, que dura fins al Cretaci inferior.</w:t>
      </w:r>
    </w:p>
    <w:p>
      <w:pPr>
        <w:pStyle w:val="Normal"/>
        <w:jc w:val="both"/>
        <w:rPr>
          <w:rFonts w:ascii="Verdana" w:hAnsi="Verdana" w:cs="Verdana"/>
        </w:rPr>
      </w:pPr>
      <w:r>
        <w:rPr>
          <w:rFonts w:cs="Verdana" w:ascii="Verdana" w:hAnsi="Verdana"/>
        </w:rPr>
      </w:r>
    </w:p>
    <w:p>
      <w:pPr>
        <w:pStyle w:val="Normal"/>
        <w:jc w:val="both"/>
        <w:rPr>
          <w:rFonts w:ascii="Verdana" w:hAnsi="Verdana" w:cs="Verdana"/>
        </w:rPr>
      </w:pPr>
      <w:r>
        <w:rPr>
          <w:rFonts w:cs="Verdana" w:ascii="Verdana" w:hAnsi="Verdana"/>
        </w:rPr>
        <w:t>Del medi marí de l’Aptià es daten fàcies arrecifals amb Rudites, Orbitolines i fàcies margoses més distals amb Ammonits.</w:t>
      </w:r>
    </w:p>
    <w:p>
      <w:pPr>
        <w:pStyle w:val="Normal"/>
        <w:jc w:val="both"/>
        <w:rPr>
          <w:rFonts w:ascii="Verdana" w:hAnsi="Verdana" w:cs="Verdana"/>
        </w:rPr>
      </w:pPr>
      <w:r>
        <w:rPr>
          <w:rFonts w:cs="Verdana" w:ascii="Verdana" w:hAnsi="Verdana"/>
        </w:rPr>
      </w:r>
    </w:p>
    <w:p>
      <w:pPr>
        <w:pStyle w:val="Normal"/>
        <w:jc w:val="both"/>
        <w:rPr>
          <w:rFonts w:ascii="Verdana" w:hAnsi="Verdana" w:cs="Verdana"/>
        </w:rPr>
      </w:pPr>
      <w:r>
        <w:rPr>
          <w:rFonts w:cs="Verdana" w:ascii="Verdana" w:hAnsi="Verdana"/>
        </w:rPr>
        <w:t>A l’inici del Paleocè s’inicia una etapa clarament compressiva produint-se plegaments i encavalcaments. Durant el Miocè es passa a una etapa de distensió donant falles, alhora que es produeix el bàsculament. Durant aquesta etapa de distensió, es van envair les àrees més deprimides i això juntament amb els aports de l’Ebre i els grans aports dels massissos circumdants, dóna lloc a una conca amb molts canvis laterals.</w:t>
      </w:r>
    </w:p>
    <w:p>
      <w:pPr>
        <w:pStyle w:val="Normal"/>
        <w:jc w:val="both"/>
        <w:rPr>
          <w:rFonts w:ascii="Verdana" w:hAnsi="Verdana" w:cs="Verdana"/>
        </w:rPr>
      </w:pPr>
      <w:r>
        <w:rPr>
          <w:rFonts w:cs="Verdana" w:ascii="Verdana" w:hAnsi="Verdana"/>
        </w:rPr>
      </w:r>
    </w:p>
    <w:p>
      <w:pPr>
        <w:pStyle w:val="Normal"/>
        <w:jc w:val="both"/>
        <w:rPr/>
      </w:pPr>
      <w:r>
        <w:rPr>
          <w:rFonts w:cs="Verdana" w:ascii="Verdana" w:hAnsi="Verdana"/>
        </w:rPr>
        <w:t>És durant el Pleistocè, en que es data la zona estudiada, en que es troba materials pertanyents als cons de dejecció, procedents de l’erosió de les roques calcàries juràssiques de la Serra de Tivissa. Aquests materials estan formats per conglomerats, graves, sorrenques i algunes argiles ben cimentades i amb potències que superen els 20 m. Per sobre es poden trobar petits nivells de sòl datats del quaternari.</w:t>
      </w:r>
    </w:p>
    <w:p>
      <w:pPr>
        <w:pStyle w:val="Normal"/>
        <w:rPr>
          <w:rFonts w:ascii="Verdana" w:hAnsi="Verdana" w:cs="Verdana"/>
        </w:rPr>
      </w:pPr>
      <w:r>
        <w:rPr>
          <w:rFonts w:cs="Verdana" w:ascii="Verdana" w:hAnsi="Verdana"/>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ahoma">
    <w:charset w:val="00"/>
    <w:family w:val="swiss"/>
    <w:pitch w:val="variable"/>
  </w:font>
  <w:font w:name="Verdana">
    <w:charset w:val="00"/>
    <w:family w:val="swiss"/>
    <w:pitch w:val="variable"/>
  </w:font>
  <w:font w:name="Calibri">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75"/>
  <w:defaultTabStop w:val="708"/>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ca-ES" w:bidi="ar-SA" w:eastAsia="zh-CN"/>
    </w:rPr>
  </w:style>
  <w:style w:type="character" w:styleId="WW8Num1z0">
    <w:name w:val="WW8Num1z0"/>
    <w:qFormat/>
    <w:rPr>
      <w:rFonts w:ascii="Symbol" w:hAnsi="Symbol" w:cs="Symbol"/>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before="0" w:after="12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2">
    <w:name w:val="Body Text 2"/>
    <w:basedOn w:val="Normal"/>
    <w:qFormat/>
    <w:pPr>
      <w:ind w:hanging="0" w:left="708" w:right="0"/>
    </w:pPr>
    <w:rPr>
      <w:rFonts w:ascii="Tahoma" w:hAnsi="Tahoma" w:cs="Tahoma"/>
      <w:szCs w:val="20"/>
    </w:rPr>
  </w:style>
  <w:style w:type="paragraph" w:styleId="Textoindependiente2">
    <w:name w:val="Texto independiente 2"/>
    <w:basedOn w:val="Normal"/>
    <w:qFormat/>
    <w:pPr>
      <w:spacing w:lineRule="auto" w:line="360"/>
      <w:jc w:val="both"/>
    </w:pPr>
    <w:rPr>
      <w:sz w:val="20"/>
      <w:szCs w:val="20"/>
      <w:lang w:val="es-ES_tradnl"/>
    </w:rPr>
  </w:style>
  <w:style w:type="paragraph" w:styleId="Textoindependiente3">
    <w:name w:val="Texto independiente 3"/>
    <w:basedOn w:val="Normal"/>
    <w:qFormat/>
    <w:pPr>
      <w:jc w:val="both"/>
    </w:pPr>
    <w:rPr>
      <w:rFonts w:ascii="Tahoma" w:hAnsi="Tahoma" w:cs="Tahoma"/>
      <w:szCs w:val="20"/>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2006-03-28T10:11:00Z</dcterms:created>
  <dc:creator>G3</dc:creator>
  <dc:description/>
  <cp:keywords/>
  <dc:language>en-US</dc:language>
  <cp:lastModifiedBy>marc@g3dt.com</cp:lastModifiedBy>
  <dcterms:modified xsi:type="dcterms:W3CDTF">2010-04-12T12:06:00Z</dcterms:modified>
  <cp:revision>4</cp:revision>
  <dc:subject/>
  <dc:title>3</dc:title>
</cp:coreProperties>
</file>