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rFonts w:ascii="Verdana" w:hAnsi="Verdana" w:cs="Verdana"/>
          <w:b/>
          <w:sz w:val="24"/>
        </w:rPr>
      </w:pPr>
      <w:r>
        <w:rPr>
          <w:rFonts w:cs="Verdana" w:ascii="Verdana" w:hAnsi="Verdana"/>
          <w:b/>
          <w:sz w:val="24"/>
        </w:rPr>
        <w:t>MARC GEOLÒGIC PRE-PIRINEUS:</w:t>
      </w:r>
    </w:p>
    <w:p>
      <w:pPr>
        <w:pStyle w:val="Normal"/>
        <w:rPr>
          <w:rFonts w:ascii="Verdana" w:hAnsi="Verdana" w:cs="Verdana"/>
          <w:b/>
          <w:sz w:val="24"/>
        </w:rPr>
      </w:pPr>
      <w:r>
        <w:rPr>
          <w:rFonts w:cs="Verdana" w:ascii="Verdana" w:hAnsi="Verdana"/>
          <w:b/>
          <w:sz w:val="24"/>
        </w:rPr>
      </w:r>
    </w:p>
    <w:p>
      <w:pPr>
        <w:pStyle w:val="Normal"/>
        <w:rPr>
          <w:rFonts w:ascii="Verdana" w:hAnsi="Verdana" w:cs="Verdana"/>
          <w:b/>
          <w:sz w:val="24"/>
        </w:rPr>
      </w:pPr>
      <w:r>
        <w:rPr>
          <w:rFonts w:cs="Verdana" w:ascii="Verdana" w:hAnsi="Verdana"/>
          <w:b/>
          <w:sz w:val="24"/>
        </w:rPr>
      </w:r>
    </w:p>
    <w:p>
      <w:pPr>
        <w:pStyle w:val="Normal"/>
        <w:rPr>
          <w:rFonts w:ascii="Verdana" w:hAnsi="Verdana" w:cs="Verdana"/>
          <w:b/>
          <w:sz w:val="24"/>
        </w:rPr>
      </w:pPr>
      <w:r>
        <w:rPr>
          <w:rFonts w:cs="Verdana" w:ascii="Verdana" w:hAnsi="Verdana"/>
          <w:b/>
          <w:sz w:val="24"/>
        </w:rPr>
      </w:r>
    </w:p>
    <w:p>
      <w:pPr>
        <w:pStyle w:val="Normal"/>
        <w:jc w:val="both"/>
        <w:rPr>
          <w:rFonts w:ascii="Verdana" w:hAnsi="Verdana" w:cs="Verdana"/>
          <w:sz w:val="24"/>
        </w:rPr>
      </w:pPr>
      <w:r>
        <w:rPr>
          <w:rFonts w:cs="Verdana" w:ascii="Verdana" w:hAnsi="Verdana"/>
          <w:sz w:val="24"/>
        </w:rPr>
        <w:t>Durant el Cretaci inferior es desenvolupen tot un conjunt de falles normals, que posteriorment pateixen una important subsidència tèrmica. Més endavant, durant el Santonià Superior, es produeix una inversió d'aquestes estructures, formant-se així els primers encavalcaments. És precisament davant d’aquests encavalcaments que es formen els solcs que són reomplerts durant el Santonià Superior fins al Campanià amb sediments turbidítics. Aquests sediments són discordants sobre seqüències inferiors degut al fet que va lligat al desenvolupament de l’encavalcament. Així mateix, el progressiu desenvolupament dels encavalcaments provoca una sedimentació discordant.</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Durant el Maastrichtià superior- Paleocè, les estructures encavalcants són completament invertides. En aquest moment la conca pateix una sedimentació fluvial i lacustre (fàcies Garumnianes). Aquestes fàcies fossilitzen discordantment les falles invertides de l’encavalcament de Bòixols, i són sincròniques amb el desenvolupament dels encavalcaments que es propaguen cap al Sud (Montsec, Serres Marginals). Al final d’aquest episodi hi ha somerització, comença la transgressió que ens donarà la seqüència ilerdiana.</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Durant l'Eocè inferior i mig, posteriorment a la transgressió ilerdiana, la conca es caracteritza per la presència de solcs fortament subsidents reomplerts per sediments turbidítics i materials marins sincrònics que s’adapten als dipòsits continentals infrajacents. És en aquest període quan es desenvolupen els encavalcaments de Montsec i Serres marginals, formant-se així conques en "piggy-back". En aquest moment, és també quan la placa Ibèrica comença a subsidir sota de l’Europea.</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Durant l’Eocè superior-oligocè, les conques turbidítiques s’acaben d’omplir per sistemes deltaics, i es va produint una progressiva somerització i eixamplament de la conca. El sistema d’encavalcaments pirinencs continua la seva migració cap al Sud, afectant també a la zona central Sud- Pirinenca, i produint migració en els depocentres de la conca.</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ahoma" w:hAnsi="Tahoma" w:eastAsia="Times New Roman" w:cs="Tahoma"/>
      <w:color w:val="auto"/>
      <w:sz w:val="20"/>
      <w:szCs w:val="20"/>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EnvelopeReturn">
    <w:name w:val="Envelope Return"/>
    <w:basedOn w:val="Normal"/>
    <w:pPr/>
    <w:rPr>
      <w:sz w:val="16"/>
    </w:rPr>
  </w:style>
  <w:style w:type="paragraph" w:styleId="EnvelopeAddress">
    <w:name w:val="Envelope Address"/>
    <w:basedOn w:val="Normal"/>
    <w:pPr>
      <w:ind w:hanging="0" w:left="2880" w:right="0"/>
    </w:pPr>
    <w:rPr>
      <w:rFonts w:ascii="Tahoma" w:hAnsi="Tahoma" w:cs="Tahoma"/>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2002-02-15T09:46:00Z</dcterms:created>
  <dc:creator>user</dc:creator>
  <dc:description/>
  <dc:language>en-US</dc:language>
  <cp:lastModifiedBy>Núria</cp:lastModifiedBy>
  <dcterms:modified xsi:type="dcterms:W3CDTF">2004-09-03T10:06:00Z</dcterms:modified>
  <cp:revision>4</cp:revision>
  <dc:subject/>
  <dc:title>MARC GEOLÒGIC PRE-PIRINEUS:</dc:title>
</cp:coreProperties>
</file>