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cs="Calibri"/>
          <w:b/>
          <w:sz w:val="28"/>
          <w:szCs w:val="28"/>
        </w:rPr>
      </w:pPr>
      <w:r>
        <w:rPr>
          <w:rFonts w:cs="Calibri" w:ascii="Calibri" w:hAnsi="Calibri"/>
          <w:b/>
          <w:sz w:val="28"/>
          <w:szCs w:val="28"/>
        </w:rPr>
      </w:r>
    </w:p>
    <w:tbl>
      <w:tblPr>
        <w:tblW w:w="7196" w:type="dxa"/>
        <w:jc w:val="left"/>
        <w:tblInd w:w="-1735" w:type="dxa"/>
        <w:tblLayout w:type="fixed"/>
        <w:tblCellMar>
          <w:top w:w="0" w:type="dxa"/>
          <w:left w:w="108" w:type="dxa"/>
          <w:bottom w:w="0" w:type="dxa"/>
          <w:right w:w="108" w:type="dxa"/>
        </w:tblCellMar>
      </w:tblPr>
      <w:tblGrid>
        <w:gridCol w:w="7196"/>
      </w:tblGrid>
      <w:tr>
        <w:trPr/>
        <w:tc>
          <w:tcPr>
            <w:tcW w:w="7196" w:type="dxa"/>
            <w:tcBorders/>
            <w:shd w:fill="E0E0E0" w:val="clear"/>
          </w:tcPr>
          <w:p>
            <w:pPr>
              <w:pStyle w:val="BodyText2"/>
              <w:ind w:left="1735" w:right="0"/>
              <w:jc w:val="both"/>
              <w:rPr>
                <w:rFonts w:ascii="Calibri" w:hAnsi="Calibri" w:cs="Calibri"/>
                <w:b/>
                <w:sz w:val="28"/>
                <w:szCs w:val="28"/>
              </w:rPr>
            </w:pPr>
            <w:r>
              <w:rPr>
                <w:rFonts w:cs="Calibri" w:ascii="Calibri" w:hAnsi="Calibri"/>
                <w:b/>
                <w:bCs/>
                <w:sz w:val="28"/>
                <w:szCs w:val="28"/>
              </w:rPr>
              <w:t>3. DESCRIPCIÓ GEOLÒGICA I GEOTÈCNICA</w:t>
            </w:r>
          </w:p>
        </w:tc>
      </w:tr>
    </w:tbl>
    <w:p>
      <w:pPr>
        <w:pStyle w:val="BodyText2"/>
        <w:ind w:left="0" w:right="0"/>
        <w:jc w:val="both"/>
        <w:rPr>
          <w:rFonts w:ascii="Calibri" w:hAnsi="Calibri" w:cs="Calibri"/>
          <w:b/>
          <w:sz w:val="28"/>
          <w:szCs w:val="28"/>
        </w:rPr>
      </w:pPr>
      <w:r>
        <w:rPr>
          <w:rFonts w:cs="Calibri" w:ascii="Calibri" w:hAnsi="Calibri"/>
          <w:b/>
          <w:sz w:val="28"/>
          <w:szCs w:val="28"/>
        </w:rPr>
      </w:r>
    </w:p>
    <w:p>
      <w:pPr>
        <w:pStyle w:val="BodyText2"/>
        <w:ind w:left="0" w:right="0"/>
        <w:jc w:val="both"/>
        <w:rPr>
          <w:rFonts w:ascii="Calibri" w:hAnsi="Calibri" w:cs="Calibri"/>
          <w:b/>
          <w:sz w:val="28"/>
          <w:szCs w:val="28"/>
        </w:rPr>
      </w:pPr>
      <w:r>
        <w:rPr>
          <w:rFonts w:cs="Calibri" w:ascii="Calibri" w:hAnsi="Calibri"/>
          <w:b/>
          <w:sz w:val="28"/>
          <w:szCs w:val="28"/>
        </w:rPr>
      </w:r>
    </w:p>
    <w:tbl>
      <w:tblPr>
        <w:tblW w:w="5387" w:type="dxa"/>
        <w:jc w:val="left"/>
        <w:tblInd w:w="5211" w:type="dxa"/>
        <w:tblLayout w:type="fixed"/>
        <w:tblCellMar>
          <w:top w:w="0" w:type="dxa"/>
          <w:left w:w="108" w:type="dxa"/>
          <w:bottom w:w="0" w:type="dxa"/>
          <w:right w:w="108" w:type="dxa"/>
        </w:tblCellMar>
      </w:tblPr>
      <w:tblGrid>
        <w:gridCol w:w="5387"/>
      </w:tblGrid>
      <w:tr>
        <w:trPr/>
        <w:tc>
          <w:tcPr>
            <w:tcW w:w="5387" w:type="dxa"/>
            <w:tcBorders/>
            <w:shd w:fill="F3F3F3" w:val="clear"/>
          </w:tcPr>
          <w:p>
            <w:pPr>
              <w:pStyle w:val="BodyText2"/>
              <w:ind w:left="1026" w:right="0"/>
              <w:jc w:val="both"/>
              <w:rPr>
                <w:rFonts w:ascii="Calibri" w:hAnsi="Calibri" w:cs="Calibri"/>
                <w:sz w:val="28"/>
                <w:szCs w:val="28"/>
              </w:rPr>
            </w:pPr>
            <w:r>
              <w:rPr>
                <w:rFonts w:cs="Calibri" w:ascii="Calibri" w:hAnsi="Calibri"/>
                <w:b/>
                <w:sz w:val="28"/>
                <w:szCs w:val="28"/>
              </w:rPr>
              <w:t>3.1. Marc geològic</w:t>
            </w:r>
          </w:p>
        </w:tc>
      </w:tr>
    </w:tbl>
    <w:p>
      <w:pPr>
        <w:pStyle w:val="Textoindependiente2"/>
        <w:spacing w:lineRule="auto" w:line="24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pPr>
      <w:r>
        <w:rPr>
          <w:rFonts w:cs="Calibri" w:ascii="Calibri" w:hAnsi="Calibri"/>
          <w:sz w:val="28"/>
          <w:szCs w:val="28"/>
          <w:lang w:val="ca-ES"/>
        </w:rPr>
        <w:t>La zona que engloba aquest estudi es troba situada dins la Depressió de l’Ebre, en el seu extrem oriental, que rep el nom de Depressió Central Catalana. Aquesta és una unitat morfoestructural que forma l’avantpaís del Pirineus, i alhora és una conca sedimentària d’edat terciària. Està delimitada al N pels Pirineus, i al S per la Cadena Costanera Catalana o Catalànids.</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La conca de l’Ebre està relacionada amb l’evolució de l’orogen pirinenc, i es desenvolupa com a resposta de l’apropament de la placa Ibèrica sota la placa Europea, amb inici de subducció de la primera respecte la segona. D’aquesta manera, aquesta conca esdevé una cubeta sedimentària durant el Terciari, actuant com a centre de deposició dels materials, primer marins, durant el Terciari inferior i mig, i posteriorment continentals, procedents del desmantellament de les serralades circumdants.</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Durant l’Eocè, la conca de l’Ebre estava connectada amb l’oceà Atlàntic per l’oest. Fruit de la col·lisió entre les dues plaques tectòniques, s’inicia la col·locació de làmines encavalcants o mantells de corriment, d’origen pirinenc, empeses cap al sud. L’emplaçament d’aquests mantells va reduir considerablement l’espai que inicialment ocupava la Conca de l’Ebre, i va fer perdre la comunicació amb el mar obert.</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 xml:space="preserve">A partir de finals de l’Eocè i durant tot l’Oligocè, la conca de l’Ebre actua com a conca endorreica, tancada, on la sedimentació que es produeix és d’origen continental. Els sediments continentals tenen diversos orígens, entre els que cal destacar els dipòsits de torrenteres, de rius més o menys ben desenvolupats, de dipòsits de plana d’inundació, i finalment, dipòsits d'origen lacustre o palustre. Cada un d’aquests dipòsits donarà origen a diferents tipus de roques sedimentàries que són les que es troben a sota aquestes contrades. </w:t>
      </w:r>
    </w:p>
    <w:p>
      <w:pPr>
        <w:pStyle w:val="BodyText2"/>
        <w:ind w:left="0" w:right="0"/>
        <w:jc w:val="both"/>
        <w:rPr>
          <w:rFonts w:ascii="Calibri" w:hAnsi="Calibri" w:cs="Calibri"/>
          <w:sz w:val="28"/>
          <w:szCs w:val="28"/>
          <w:lang w:val="ca-ES"/>
        </w:rPr>
      </w:pPr>
      <w:r>
        <w:rPr>
          <w:rFonts w:cs="Calibri" w:ascii="Calibri" w:hAnsi="Calibri"/>
          <w:sz w:val="28"/>
          <w:szCs w:val="28"/>
          <w:lang w:val="ca-ES"/>
        </w:rPr>
      </w:r>
      <w:r>
        <w:br w:type="page"/>
      </w:r>
    </w:p>
    <w:p>
      <w:pPr>
        <w:pStyle w:val="Normal"/>
        <w:jc w:val="both"/>
        <w:rPr>
          <w:rFonts w:ascii="Calibri" w:hAnsi="Calibri" w:cs="Calibri"/>
          <w:sz w:val="28"/>
          <w:szCs w:val="28"/>
        </w:rPr>
      </w:pPr>
      <w:r>
        <w:rPr>
          <w:rFonts w:cs="Calibri" w:ascii="Calibri" w:hAnsi="Calibri"/>
          <w:sz w:val="28"/>
          <w:szCs w:val="28"/>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Així apareixen conglomerats, gresos i argiles d’origen tant fluvial, com al·luvial, com lacustre, i també nivells de carbonats d’origen lacustre.</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Des de finals de L’Oligocè fins a l’actualitat la depressió de l’Ebre ha deixat d’actuar com a conca sedimentària i ha esdevingut una cubeta on l’agent predominant principal ha estat l’erosió. Localment, en alguns punts de la conca, hi ha dipòsits del Terciari superior i principalment del Quaternari. Aquests corresponen als materials subconsolidats que apareixen entre les roques sedimentàries i la superfície, formats per sorres, llims i argiles, on abunden les crostes carbonatades.</w:t>
      </w:r>
    </w:p>
    <w:p>
      <w:pPr>
        <w:pStyle w:val="Normal"/>
        <w:rPr>
          <w:rFonts w:ascii="Calibri" w:hAnsi="Calibri" w:cs="Calibri"/>
          <w:sz w:val="28"/>
          <w:szCs w:val="28"/>
          <w:lang w:val="ca-ES"/>
        </w:rPr>
      </w:pPr>
      <w:r>
        <w:rPr>
          <w:rFonts w:cs="Calibri" w:ascii="Calibri" w:hAnsi="Calibri"/>
          <w:sz w:val="28"/>
          <w:szCs w:val="28"/>
          <w:lang w:val="ca-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s>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ahoma" w:hAnsi="Tahoma" w:eastAsia="Times New Roman" w:cs="Tahoma"/>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sz w:val="24"/>
    </w:rPr>
  </w:style>
  <w:style w:type="paragraph" w:styleId="Textoindependiente2">
    <w:name w:val="Texto independiente 2"/>
    <w:basedOn w:val="Normal"/>
    <w:qFormat/>
    <w:pPr>
      <w:spacing w:lineRule="auto" w:line="360"/>
      <w:jc w:val="both"/>
    </w:pPr>
    <w:rPr>
      <w:rFonts w:ascii="Times New Roman" w:hAnsi="Times New Roman" w:cs="Times New Roman"/>
      <w:lang w:val="es-ES_tradn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2010-05-05T15:48:00Z</dcterms:created>
  <dc:creator>G3-Desenvolupament Territorial</dc:creator>
  <dc:description/>
  <cp:keywords/>
  <dc:language>en-US</dc:language>
  <cp:lastModifiedBy>usuari</cp:lastModifiedBy>
  <dcterms:modified xsi:type="dcterms:W3CDTF">2010-05-05T16:20:00Z</dcterms:modified>
  <cp:revision>2</cp:revision>
  <dc:subject/>
  <dc:title>3</dc:title>
</cp:coreProperties>
</file>