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pPr>
        <w:pStyle w:val="TOC2"/>
      </w:pPr>
      <w:r>
        <w:t xml:space="preserve">4.4. EMPENTES DE TERRES</w:t>
      </w:r>
    </w:p>
    <w:p>
      <w:pPr>
        <w:pStyle w:val="TOC2"/>
      </w:pPr>
      <w:r>
        <w:t xml:space="preserve">4.5. ESTABILITAT DE VESSANT</w:t>
      </w:r>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habitatge unifamiliar.</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PB+1PP</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400</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Arbrells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C-1</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24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Castellar Del Valles</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construir, amb herbes altes i arbres, així com una parcel·la amb planta baixa i una planta pis, paral·lela al carrer Turó Roig.</w:t>
      </w:r>
    </w:p>
    <w:p w:rsidR="009C46A9" w:rsidRPr="00AE169B" w:rsidRDefault="00CC459A" w:rsidP="009C46A9">
      <w:pPr>
        <w:numPr>
          <w:ilvl w:val="0"/>
          <w:numId w:val="20"/>
        </w:numPr>
        <w:rPr>
          <w:szCs w:val="20"/>
        </w:rPr>
      </w:pPr>
      <w:r>
        <w:rPr>
          <w:szCs w:val="20"/>
        </w:rPr>
        <w:t xml:space="preserve">Per la part sud amb el Carrer Arbrells.</w:t>
      </w:r>
    </w:p>
    <w:p w:rsidR="009C46A9" w:rsidRPr="00AE169B" w:rsidRDefault="00E1171C" w:rsidP="002F49B5">
      <w:pPr>
        <w:numPr>
          <w:ilvl w:val="0"/>
          <w:numId w:val="20"/>
        </w:numPr>
        <w:rPr>
          <w:szCs w:val="20"/>
        </w:rPr>
      </w:pPr>
      <w:r>
        <w:rPr/>
        <w:t xml:space="preserve">Per la part est amb una Parcel·la construïda amb piscina.</w:t>
      </w:r>
    </w:p>
    <w:p w:rsidR="009C46A9" w:rsidRPr="00AE169B" w:rsidRDefault="00E1171C" w:rsidP="002F49B5">
      <w:pPr>
        <w:numPr>
          <w:ilvl w:val="0"/>
          <w:numId w:val="20"/>
        </w:numPr>
        <w:rPr>
          <w:szCs w:val="20"/>
        </w:rPr>
      </w:pPr>
      <w:r>
        <w:rPr>
          <w:szCs w:val="20"/>
        </w:rPr>
        <w:t xml:space="preserve">I finalment, per la part oest amb Parcel·les sense construir amb herbes altes i arbres.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carrer Arbrells al sud de la parcel·la.</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Solar amb pendent pronunciada (36%), vegetació abundant, edificacions veïnes al nord i est</w:t>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
            </w:r>
            <w:r>
              <w:drawing>
                <wp:inline xmlns:a="http://schemas.openxmlformats.org/drawingml/2006/main" xmlns:pic="http://schemas.openxmlformats.org/drawingml/2006/picture">
                  <wp:extent cx="4320000" cy="2430000"/>
                  <wp:docPr id="1001" name="Picture 1"/>
                  <wp:cNvGraphicFramePr>
                    <a:graphicFrameLocks noChangeAspect="1"/>
                  </wp:cNvGraphicFramePr>
                  <a:graphic>
                    <a:graphicData uri="http://schemas.openxmlformats.org/drawingml/2006/picture">
                      <pic:pic>
                        <pic:nvPicPr>
                          <pic:cNvPr id="0" name="vista_general_1.jpg"/>
                          <pic:cNvPicPr/>
                        </pic:nvPicPr>
                        <pic:blipFill>
                          <a:blip r:embed="rId24"/>
                          <a:stretch>
                            <a:fillRect/>
                          </a:stretch>
                        </pic:blipFill>
                        <pic:spPr>
                          <a:xfrm>
                            <a:off x="0" y="0"/>
                            <a:ext cx="4320000" cy="2430000"/>
                          </a:xfrm>
                          <a:prstGeom prst="rect"/>
                        </pic:spPr>
                      </pic:pic>
                    </a:graphicData>
                  </a:graphic>
                </wp:inline>
              </w:drawing>
            </w:r>
            <w:r>
              <w:t xml:space="preserve"/>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24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4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
      </w:r>
      <w:r>
        <w:drawing>
          <wp:inline xmlns:a="http://schemas.openxmlformats.org/drawingml/2006/main" xmlns:pic="http://schemas.openxmlformats.org/drawingml/2006/picture">
            <wp:extent cx="4320000" cy="2430000"/>
            <wp:docPr id="1002" name="Picture 1"/>
            <wp:cNvGraphicFramePr>
              <a:graphicFrameLocks noChangeAspect="1"/>
            </wp:cNvGraphicFramePr>
            <a:graphic>
              <a:graphicData uri="http://schemas.openxmlformats.org/drawingml/2006/picture">
                <pic:pic>
                  <pic:nvPicPr>
                    <pic:cNvPr id="0" name="maquina_dpsh.jpg"/>
                    <pic:cNvPicPr/>
                  </pic:nvPicPr>
                  <pic:blipFill>
                    <a:blip r:embed="rId25"/>
                    <a:stretch>
                      <a:fillRect/>
                    </a:stretch>
                  </pic:blipFill>
                  <pic:spPr>
                    <a:xfrm>
                      <a:off x="0" y="0"/>
                      <a:ext cx="4320000" cy="2430000"/>
                    </a:xfrm>
                    <a:prstGeom prst="rect"/>
                  </pic:spPr>
                </pic:pic>
              </a:graphicData>
            </a:graphic>
          </wp:inline>
        </w:drawing>
      </w:r>
      <w:r>
        <w:t xml:space="preserve"/>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
      </w:r>
      <w:r>
        <w:drawing>
          <wp:inline xmlns:a="http://schemas.openxmlformats.org/drawingml/2006/main" xmlns:pic="http://schemas.openxmlformats.org/drawingml/2006/picture">
            <wp:extent cx="4320000" cy="2430000"/>
            <wp:docPr id="1003" name="Picture 1"/>
            <wp:cNvGraphicFramePr>
              <a:graphicFrameLocks noChangeAspect="1"/>
            </wp:cNvGraphicFramePr>
            <a:graphic>
              <a:graphicData uri="http://schemas.openxmlformats.org/drawingml/2006/picture">
                <pic:pic>
                  <pic:nvPicPr>
                    <pic:cNvPr id="0" name="maquina_sondeig.jpg"/>
                    <pic:cNvPicPr/>
                  </pic:nvPicPr>
                  <pic:blipFill>
                    <a:blip r:embed="rId26"/>
                    <a:stretch>
                      <a:fillRect/>
                    </a:stretch>
                  </pic:blipFill>
                  <pic:spPr>
                    <a:xfrm>
                      <a:off x="0" y="0"/>
                      <a:ext cx="4320000" cy="2430000"/>
                    </a:xfrm>
                    <a:prstGeom prst="rect"/>
                  </pic:spPr>
                </pic:pic>
              </a:graphicData>
            </a:graphic>
          </wp:inline>
        </w:drawing>
      </w:r>
      <w:r>
        <w:t xml:space="preserve"/>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4"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+569.50</w:t>
            </w:r>
          </w:p>
        </w:tc>
        <w:tc>
          <w:tcPr>
            <w:tcW w:type="dxa" w:w="1417"/>
          </w:tcPr>
          <w:p>
            <w:r>
              <w:t xml:space="preserve">-1.20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+569.50</w:t>
            </w:r>
          </w:p>
        </w:tc>
        <w:tc>
          <w:tcPr>
            <w:tcW w:type="dxa" w:w="1417"/>
          </w:tcPr>
          <w:p>
            <w:r>
              <w:t xml:space="preserve">-0.60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+569.50</w:t>
            </w:r>
          </w:p>
        </w:tc>
        <w:tc>
          <w:tcPr>
            <w:tcW w:type="dxa" w:w="1417"/>
          </w:tcPr>
          <w:p>
            <w:r>
              <w:t xml:space="preserve">-0.80</w:t>
            </w:r>
          </w:p>
        </w:tc>
        <w:tc>
          <w:tcPr>
            <w:tcW w:type="dxa" w:w="993"/>
          </w:tcPr>
          <w:p>
            <w:r>
              <w:t xml:space="preserve">Si</w:t>
            </w:r>
          </w:p>
        </w:tc>
        <w:tc>
          <w:tcPr>
            <w:tcW w:type="dxa" w:w="2822"/>
          </w:tcPr>
          <w:p>
            <w:r>
              <w:t xml:space="preserve">No detectat</w:t>
            </w:r>
          </w:p>
        </w:tc>
      </w:tr>
      <w:tr>
        <w:tc>
          <w:tcPr>
            <w:tcW w:type="dxa" w:w="1756"/>
          </w:tcPr>
          <w:p>
            <w:r>
              <w:t xml:space="preserve">P-4</w:t>
            </w:r>
          </w:p>
        </w:tc>
        <w:tc>
          <w:tcPr>
            <w:tcW w:type="dxa" w:w="1409"/>
          </w:tcPr>
          <w:p>
            <w:r>
              <w:t xml:space="preserve">+569.50</w:t>
            </w:r>
          </w:p>
        </w:tc>
        <w:tc>
          <w:tcPr>
            <w:tcW w:type="dxa" w:w="1417"/>
          </w:tcPr>
          <w:p>
            <w:r>
              <w:t xml:space="preserve">-1.60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+569.50</w:t>
            </w:r>
          </w:p>
        </w:tc>
        <w:tc>
          <w:tcPr>
            <w:tcW w:type="dxa" w:w="1417"/>
          </w:tcPr>
          <w:p>
            <w:r>
              <w:t xml:space="preserve">-1.20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Prelitoral Catalana, concretament a la fossa tectònica del Vallès-Penedès. Aquesta és una estructura d'origen extensional que forma part del sistema de fosses neògenes que caracteritzen el marge oriental de la Península Ibèrica, desenvolupada principalment durant el Miocè.</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fossa del Vallès-Penedès està relacionada amb l'obertura de la Mediterrània occidental i la formació del solc de València durant el Neogen. Es desenvolupa com a resposta a l'extensió crustal que va afectar el marge ibèric, generant un sistema de falles normals que van delimitar aquesta depressió entre la Serralada Prelitoral, al nord-oest, i la Serralada Litoral,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el Miocè, la fossa del Vallès-Penedès va actuar com a conca sedimentària, alternant períodes de sedimentació marina i continental. Els sediments miocens inclouen fàcies marines (margues, calcàries i gresos) corresponents a les transgressions mediterrànies, i fàcies continentals al·luvials i lacustres als marges de la conca.</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del Pliocè i durant el Quaternari, la conca ha estat reblerta progressivament per sediments continentals. Els materials quaternaris inclouen dipòsits al·luvials, cons de dejecció procedents de les serralades adjacents, i terrasses fluvials associades als cursos d'aigua principals com el Llobregat i els seus afluents.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l'actualitat, la Depressió del Vallès-Penedès presenta una morfologia plana o suaument ondulada, amb relleus residuals formats per materials més resistents. Els processos actius inclouen la sedimentació al·luvial als fons de vall i l'erosió als vessants de les serralades que l'emmarquen. La zona urbanitzada se situa predominantment sobre els dipòsits quaternaris més recents.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PEcg, corresponents a conglomerats heteromètrics del Eocè.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5" name="Picture 1"/>
            <wp:cNvGraphicFramePr>
              <a:graphicFrameLocks noChangeAspect="1"/>
            </wp:cNvGraphicFramePr>
            <a:graphic>
              <a:graphicData uri="http://schemas.openxmlformats.org/drawingml/2006/picture">
                <pic:pic>
                  <pic:nvPicPr>
                    <pic:cNvPr id="0" name="geological_423182_4609623.jpg"/>
                    <pic:cNvPicPr/>
                  </pic:nvPicPr>
                  <pic:blipFill>
                    <a:blip r:embed="rId27"/>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4320000" cy="2430000"/>
            <wp:docPr id="1006" name="Picture 1"/>
            <wp:cNvGraphicFramePr>
              <a:graphicFrameLocks noChangeAspect="1"/>
            </wp:cNvGraphicFramePr>
            <a:graphic>
              <a:graphicData uri="http://schemas.openxmlformats.org/drawingml/2006/picture">
                <pic:pic>
                  <pic:nvPicPr>
                    <pic:cNvPr id="0" name="detall_materials.jpg"/>
                    <pic:cNvPicPr/>
                  </pic:nvPicPr>
                  <pic:blipFill>
                    <a:blip r:embed="rId28"/>
                    <a:stretch>
                      <a:fillRect/>
                    </a:stretch>
                  </pic:blipFill>
                  <pic:spPr>
                    <a:xfrm>
                      <a:off x="0" y="0"/>
                      <a:ext cx="4320000" cy="2430000"/>
                    </a:xfrm>
                    <a:prstGeom prst="rect"/>
                  </pic:spPr>
                </pic:pic>
              </a:graphicData>
            </a:graphic>
          </wp:inline>
        </w:drawing>
      </w:r>
      <w:r>
        <w:t xml:space="preserve"/>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1.60 m de profunditat, amb potències estudiades de 1.60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38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en planta baixa,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Castellar Del Valles</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1.60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Castellar Del Valles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7" name="Picture 1"/>
            <wp:cNvGraphicFramePr>
              <a:graphicFrameLocks noChangeAspect="1"/>
            </wp:cNvGraphicFramePr>
            <a:graphic>
              <a:graphicData uri="http://schemas.openxmlformats.org/drawingml/2006/picture">
                <pic:pic>
                  <pic:nvPicPr>
                    <pic:cNvPr id="0" name="tall_tall.jpg"/>
                    <pic:cNvPicPr/>
                  </pic:nvPicPr>
                  <pic:blipFill>
                    <a:blip r:embed="rId29"/>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7-R</w:t>
            </w:r>
          </w:p>
        </w:tc>
        <w:tc>
          <w:tcPr>
            <w:tcW w:w="720" w:type="dxa"/>
            <w:vAlign w:val="center"/>
          </w:tcPr>
          <w:p w:rsidR="00C636E0" w:rsidRPr="00B33352" w:rsidRDefault="009170EC" w:rsidP="00565297">
            <w:pPr>
              <w:jc w:val="center"/>
              <w:rPr>
                <w:sz w:val="18"/>
                <w:szCs w:val="18"/>
              </w:rPr>
            </w:pPr>
            <w:r w:rsidRPr="00B33352">
              <w:rPr>
                <w:sz w:val="18"/>
                <w:szCs w:val="18"/>
              </w:rPr>
              <w:t xml:space="preserve">38</w:t>
            </w:r>
          </w:p>
        </w:tc>
        <w:tc>
          <w:tcPr>
            <w:tcW w:w="1134" w:type="dxa"/>
            <w:vAlign w:val="center"/>
          </w:tcPr>
          <w:p w:rsidR="00C77253" w:rsidRPr="00B33352" w:rsidRDefault="00B33352" w:rsidP="00C77253">
            <w:pPr>
              <w:jc w:val="center"/>
              <w:rPr>
                <w:sz w:val="18"/>
                <w:szCs w:val="18"/>
              </w:rPr>
            </w:pPr>
            <w:r w:rsidRPr="00B33352">
              <w:rPr>
                <w:sz w:val="18"/>
                <w:szCs w:val="18"/>
              </w:rPr>
              <w:t xml:space="preserve">2.17</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38°</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729</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en planta baixa,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7.3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0E60F8" w:rsidRPr="00306C3C" w:rsidRDefault="000E60F8" w:rsidP="00233428">
      <w:pPr>
        <w:pStyle w:val="Heading2"/>
        <w:rPr>
          <w:rFonts w:eastAsia="Dotum"/>
          <w:szCs w:val="20"/>
        </w:rPr>
      </w:pPr>
      <w:r>
        <w:t xml:space="preserve">4.4. EMPENTES DE TERRES</w:t>
      </w:r>
    </w:p>
    <w:p w:rsidR="000E60F8" w:rsidRPr="00306C3C" w:rsidRDefault="000E60F8" w:rsidP="00233428">
      <w:pPr>
        <w:rPr>
          <w:rFonts w:eastAsia="Dotum"/>
          <w:szCs w:val="20"/>
        </w:rPr>
      </w:pPr>
      <w:r>
        <w:t xml:space="preserve">Per al disseny dels murs de contenció, s'han calculat els coeficients d'empenta de Rankine:</w:t>
        <w:br/>
        <w:t xml:space="preserve"/>
        <w:br/>
        <w:t xml:space="preserve">- Coeficient d'empenta activa: Ka = 0.233</w:t>
        <w:br/>
        <w:t xml:space="preserve">- Coeficient d'empenta passiva: Kp = 4.293</w:t>
        <w:br/>
        <w:t xml:space="preserve"/>
        <w:br/>
        <w:t xml:space="preserve">Amb un angle de fricció interna de 38 i una densitat de 2.17 g/cm3.</w:t>
      </w:r>
    </w:p>
    <w:p w:rsidR="002A7710" w:rsidRPr="00306C3C" w:rsidRDefault="002A7710" w:rsidP="00233428">
      <w:pPr>
        <w:pStyle w:val="Heading2"/>
        <w:rPr>
          <w:rFonts w:eastAsia="Dotum"/>
          <w:szCs w:val="20"/>
        </w:rPr>
      </w:pPr>
      <w:r>
        <w:t xml:space="preserve">4.5. ESTABILITAT DE VESSANT</w:t>
      </w:r>
    </w:p>
    <w:p w:rsidR="000E60F8" w:rsidRPr="00306C3C" w:rsidRDefault="007B0AB3" w:rsidP="00233428">
      <w:pPr>
        <w:rPr>
          <w:rFonts w:eastAsia="Dotum"/>
          <w:szCs w:val="20"/>
        </w:rPr>
      </w:pPr>
      <w:r>
        <w:rPr>
          <w:rFonts w:eastAsia="Dotum"/>
          <w:szCs w:val="20"/>
        </w:rPr>
        <w:t xml:space="preserve">Per a la realitzacio de les recomanacions d'estabilitat de talussos s'han tingut en compte les seguents premisses:</w:t>
        <w:br/>
        <w:t xml:space="preserve"/>
        <w:br/>
        <w:t xml:space="preserve">- El solar presenta un pendent del 36% (20 graus) en direccio SE.</w:t>
        <w:br/>
        <w:t xml:space="preserve">- Talussos sense presencia de nivell freatic.</w:t>
        <w:br/>
        <w:t xml:space="preserve">- Factor de seguretat minim F=1.5 (CTE DB SE-C apartat 7.2.2.1, situacio persistent).</w:t>
        <w:br/>
        <w:t xml:space="preserve">- S'han considerat els parametres geomecanics del 1r nivell (Nivell principal) (phi=38 graus, gamma=2.17 g/cm3).</w:t>
        <w:br/>
        <w:t xml:space="preserve"/>
        <w:br/>
        <w:t xml:space="preserve">El metode de calcul utilitzat es el del talus infinit (Talus infinit (Hoek  Bray, 1977)), aplicable a ruptures superficials paral.leles al vessant.</w:t>
        <w:br/>
        <w:t xml:space="preserve"/>
        <w:br/>
        <w:t xml:space="preserve">FS = tan(phi) / tan(beta) = tan(38 graus) / tan(20 graus) = 2.21</w:t>
        <w:br/>
        <w:t xml:space="preserve"/>
        <w:br/>
        <w:t xml:space="preserve">El factor de seguretat obtingut (FS=2.21) es superior al minim exigit (F=1.5), complint les premisses del CTE.</w:t>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3001621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25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