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pPr>
        <w:pStyle w:val="TOC2"/>
      </w:pPr>
      <w:r>
        <w:t xml:space="preserve">4.4. EMPENTES DE TERRES</w:t>
      </w:r>
    </w:p>
    <w:p>
      <w:pPr>
        <w:pStyle w:val="TOC2"/>
      </w:pPr>
      <w:r>
        <w:t xml:space="preserve">4.5. ESTABILITAT DE VESSANT</w:t>
      </w:r>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de l', en nom de , es vol valorar les característiques geològiques i geotècniques d'una zona on es preveu la construcció d'un habitatge unifamiliar.</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PB+1PP</w:t>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400</w:t>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i el Carrer Arbrells de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[Imatge pendent]</w:t>
            </w:r>
          </w:p>
        </w:tc>
        <w:tc>
          <w:tcPr>
            <w:tcW w:type="dxa" w:w="4252"/>
          </w:tcPr>
          <w:p>
            <w:pPr>
              <w:jc w:val="center"/>
            </w:pPr>
            <w:r>
              <w:t xml:space="preserve">[Imatge pendent]</w:t>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[Imatge pendent]</w:t>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C-1</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24 d'octubre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Castellar Del Valles</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amb Parcel·les sense construir, amb herbes altes i arbres, així com una parcel·la amb planta baixa i una planta pis, paral·lela al carrer Turó Roig.</w:t>
      </w:r>
    </w:p>
    <w:p w:rsidR="009C46A9" w:rsidRPr="00AE169B" w:rsidRDefault="00CC459A" w:rsidP="009C46A9">
      <w:pPr>
        <w:numPr>
          <w:ilvl w:val="0"/>
          <w:numId w:val="20"/>
        </w:numPr>
        <w:rPr>
          <w:szCs w:val="20"/>
        </w:rPr>
      </w:pPr>
      <w:r>
        <w:rPr>
          <w:szCs w:val="20"/>
        </w:rPr>
        <w:t xml:space="preserve">Per la part sud amb el Carrer Arbrells.</w:t>
      </w:r>
    </w:p>
    <w:p w:rsidR="009C46A9" w:rsidRPr="00AE169B" w:rsidRDefault="00E1171C" w:rsidP="002F49B5">
      <w:pPr>
        <w:numPr>
          <w:ilvl w:val="0"/>
          <w:numId w:val="20"/>
        </w:numPr>
        <w:rPr>
          <w:szCs w:val="20"/>
        </w:rPr>
      </w:pPr>
      <w:r>
        <w:rPr/>
        <w:t xml:space="preserve">Per la part est amb una Parcel·la construïda amb piscina.</w:t>
      </w:r>
    </w:p>
    <w:p w:rsidR="009C46A9" w:rsidRPr="00AE169B" w:rsidRDefault="00E1171C" w:rsidP="002F49B5">
      <w:pPr>
        <w:numPr>
          <w:ilvl w:val="0"/>
          <w:numId w:val="20"/>
        </w:numPr>
        <w:rPr>
          <w:szCs w:val="20"/>
        </w:rPr>
      </w:pPr>
      <w:r>
        <w:rPr>
          <w:szCs w:val="20"/>
        </w:rPr>
        <w:t xml:space="preserve">I finalment, per la part oest amb Parcel·les sense construir amb herbes altes i arbres.</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carrer Arbrells al sud de la parcel·la.</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Solar amb pendent pronunciada (36%), vegetació abundant, edificacions veïnes al nord i est</w:t>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
            </w:r>
            <w:r>
              <w:drawing>
                <wp:inline xmlns:a="http://schemas.openxmlformats.org/drawingml/2006/main" xmlns:pic="http://schemas.openxmlformats.org/drawingml/2006/picture">
                  <wp:extent cx="4320000" cy="2430000"/>
                  <wp:docPr id="1001" name="Picture 1"/>
                  <wp:cNvGraphicFramePr>
                    <a:graphicFrameLocks noChangeAspect="1"/>
                  </wp:cNvGraphicFramePr>
                  <a:graphic>
                    <a:graphicData uri="http://schemas.openxmlformats.org/drawingml/2006/picture">
                      <pic:pic>
                        <pic:nvPicPr>
                          <pic:cNvPr id="0" name="vista_general_1.jpg"/>
                          <pic:cNvPicPr/>
                        </pic:nvPicPr>
                        <pic:blipFill>
                          <a:blip r:embed="rId24"/>
                          <a:stretch>
                            <a:fillRect/>
                          </a:stretch>
                        </pic:blipFill>
                        <pic:spPr>
                          <a:xfrm>
                            <a:off x="0" y="0"/>
                            <a:ext cx="4320000" cy="2430000"/>
                          </a:xfrm>
                          <a:prstGeom prst="rect"/>
                        </pic:spPr>
                      </pic:pic>
                    </a:graphicData>
                  </a:graphic>
                </wp:inline>
              </w:drawing>
            </w:r>
            <w:r>
              <w:t xml:space="preserve"/>
            </w:r>
          </w:p>
        </w:tc>
        <w:tc>
          <w:tcPr>
            <w:tcW w:type="dxa" w:w="4153"/>
          </w:tcPr>
          <w:p>
            <w:pPr>
              <w:jc w:val="center"/>
            </w:pPr>
            <w:r>
              <w:t xml:space="preserve">[Imatge pendent]</w:t>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24 d'octubre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4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sondeig a rotació amb bateria contínua i 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
      </w:r>
      <w:r>
        <w:drawing>
          <wp:inline xmlns:a="http://schemas.openxmlformats.org/drawingml/2006/main" xmlns:pic="http://schemas.openxmlformats.org/drawingml/2006/picture">
            <wp:extent cx="4320000" cy="2430000"/>
            <wp:docPr id="1002" name="Picture 1"/>
            <wp:cNvGraphicFramePr>
              <a:graphicFrameLocks noChangeAspect="1"/>
            </wp:cNvGraphicFramePr>
            <a:graphic>
              <a:graphicData uri="http://schemas.openxmlformats.org/drawingml/2006/picture">
                <pic:pic>
                  <pic:nvPicPr>
                    <pic:cNvPr id="0" name="maquina_dpsh.jpg"/>
                    <pic:cNvPicPr/>
                  </pic:nvPicPr>
                  <pic:blipFill>
                    <a:blip r:embed="rId25"/>
                    <a:stretch>
                      <a:fillRect/>
                    </a:stretch>
                  </pic:blipFill>
                  <pic:spPr>
                    <a:xfrm>
                      <a:off x="0" y="0"/>
                      <a:ext cx="4320000" cy="2430000"/>
                    </a:xfrm>
                    <a:prstGeom prst="rect"/>
                  </pic:spPr>
                </pic:pic>
              </a:graphicData>
            </a:graphic>
          </wp:inline>
        </w:drawing>
      </w:r>
      <w:r>
        <w:t xml:space="preserve"/>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
        <w:t xml:space="preserve"/>
      </w:r>
    </w:p>
    <w:p>
      <w:pPr>
        <w:pStyle w:val="Heading3"/>
      </w:pPr>
      <w:r>
        <w:t xml:space="preserve">2.4.2. Sondeig a rotació amb bateria continua</w:t>
      </w:r>
    </w:p>
    <w:p>
      <w:r>
        <w:t xml:space="preserve"/>
      </w:r>
    </w:p>
    <w:p>
      <w:r>
        <w:t xml:space="preserve">Els sondejos a rotació amb bateria contínua són perforacions de petit diàmetre que permeten reconèixer la naturalesa i la localització de les diferents capes del terreny, així com extreure mostres del mateix i realitzar assaigs in situ.</w:t>
      </w:r>
    </w:p>
    <w:p>
      <w:r>
        <w:t xml:space="preserve"/>
      </w:r>
    </w:p>
    <w:p>
      <w:r>
        <w:t xml:space="preserve">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
        <w:t xml:space="preserve"/>
      </w:r>
    </w:p>
    <w:p>
      <w:r>
        <w:t xml:space="preserve">Aquest tipus d'assaigs s'utilitzen en roques o en sòls durs, i els diàmetres habituals són entre 66 i 143mm. En aquest cas s'utilitza una màquina de reduïdes dimensions semblants a la que realitza els assaigs de penetració.</w:t>
      </w:r>
    </w:p>
    <w:p>
      <w:pPr>
        <w:jc w:val="center"/>
      </w:pPr>
      <w:r/>
      <w:r>
        <w:t xml:space="preserve"/>
      </w:r>
      <w:r>
        <w:drawing>
          <wp:inline xmlns:a="http://schemas.openxmlformats.org/drawingml/2006/main" xmlns:pic="http://schemas.openxmlformats.org/drawingml/2006/picture">
            <wp:extent cx="4320000" cy="2430000"/>
            <wp:docPr id="1003" name="Picture 1"/>
            <wp:cNvGraphicFramePr>
              <a:graphicFrameLocks noChangeAspect="1"/>
            </wp:cNvGraphicFramePr>
            <a:graphic>
              <a:graphicData uri="http://schemas.openxmlformats.org/drawingml/2006/picture">
                <pic:pic>
                  <pic:nvPicPr>
                    <pic:cNvPr id="0" name="maquina_sondeig.jpg"/>
                    <pic:cNvPicPr/>
                  </pic:nvPicPr>
                  <pic:blipFill>
                    <a:blip r:embed="rId26"/>
                    <a:stretch>
                      <a:fillRect/>
                    </a:stretch>
                  </pic:blipFill>
                  <pic:spPr>
                    <a:xfrm>
                      <a:off x="0" y="0"/>
                      <a:ext cx="4320000" cy="2430000"/>
                    </a:xfrm>
                    <a:prstGeom prst="rect"/>
                  </pic:spPr>
                </pic:pic>
              </a:graphicData>
            </a:graphic>
          </wp:inline>
        </w:drawing>
      </w:r>
      <w:r>
        <w:t xml:space="preserve"/>
      </w:r>
    </w:p>
    <w:p>
      <w:r>
        <w:t xml:space="preserve">Fotografia 3. Vista de la màquina utilitzada per a la realització del sondeig a rotació.</w:t>
      </w:r>
    </w:p>
    <w:p>
      <w:r>
        <w:t xml:space="preserve"/>
      </w:r>
    </w:p>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2.4.3.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4"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2.4.4.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+569.50</w:t>
            </w:r>
          </w:p>
        </w:tc>
        <w:tc>
          <w:tcPr>
            <w:tcW w:type="dxa" w:w="1417"/>
          </w:tcPr>
          <w:p>
            <w:r>
              <w:t xml:space="preserve">-1.20</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+569.50</w:t>
            </w:r>
          </w:p>
        </w:tc>
        <w:tc>
          <w:tcPr>
            <w:tcW w:type="dxa" w:w="1417"/>
          </w:tcPr>
          <w:p>
            <w:r>
              <w:t xml:space="preserve">-0.60</w:t>
            </w:r>
          </w:p>
        </w:tc>
        <w:tc>
          <w:tcPr>
            <w:tcW w:type="dxa" w:w="993"/>
          </w:tcPr>
          <w:p>
            <w:r>
              <w:t xml:space="preserve">Si</w:t>
            </w:r>
          </w:p>
        </w:tc>
        <w:tc>
          <w:tcPr>
            <w:tcW w:type="dxa" w:w="2822"/>
          </w:tcPr>
          <w:p>
            <w:r>
              <w:t xml:space="preserve">No detectat</w:t>
            </w:r>
          </w:p>
        </w:tc>
      </w:tr>
      <w:tr>
        <w:tc>
          <w:tcPr>
            <w:tcW w:type="dxa" w:w="1756"/>
          </w:tcPr>
          <w:p>
            <w:r>
              <w:t xml:space="preserve">P-3</w:t>
            </w:r>
          </w:p>
        </w:tc>
        <w:tc>
          <w:tcPr>
            <w:tcW w:type="dxa" w:w="1409"/>
          </w:tcPr>
          <w:p>
            <w:r>
              <w:t xml:space="preserve">+569.50</w:t>
            </w:r>
          </w:p>
        </w:tc>
        <w:tc>
          <w:tcPr>
            <w:tcW w:type="dxa" w:w="1417"/>
          </w:tcPr>
          <w:p>
            <w:r>
              <w:t xml:space="preserve">-0.80</w:t>
            </w:r>
          </w:p>
        </w:tc>
        <w:tc>
          <w:tcPr>
            <w:tcW w:type="dxa" w:w="993"/>
          </w:tcPr>
          <w:p>
            <w:r>
              <w:t xml:space="preserve">Si</w:t>
            </w:r>
          </w:p>
        </w:tc>
        <w:tc>
          <w:tcPr>
            <w:tcW w:type="dxa" w:w="2822"/>
          </w:tcPr>
          <w:p>
            <w:r>
              <w:t xml:space="preserve">No detectat</w:t>
            </w:r>
          </w:p>
        </w:tc>
      </w:tr>
      <w:tr>
        <w:tc>
          <w:tcPr>
            <w:tcW w:type="dxa" w:w="1756"/>
          </w:tcPr>
          <w:p>
            <w:r>
              <w:t xml:space="preserve">P-4</w:t>
            </w:r>
          </w:p>
        </w:tc>
        <w:tc>
          <w:tcPr>
            <w:tcW w:type="dxa" w:w="1409"/>
          </w:tcPr>
          <w:p>
            <w:r>
              <w:t xml:space="preserve">+569.50</w:t>
            </w:r>
          </w:p>
        </w:tc>
        <w:tc>
          <w:tcPr>
            <w:tcW w:type="dxa" w:w="1417"/>
          </w:tcPr>
          <w:p>
            <w:r>
              <w:t xml:space="preserve">-1.60</w:t>
            </w:r>
          </w:p>
        </w:tc>
        <w:tc>
          <w:tcPr>
            <w:tcW w:type="dxa" w:w="993"/>
          </w:tcPr>
          <w:p>
            <w:r>
              <w:t xml:space="preserve">Si</w:t>
            </w:r>
          </w:p>
        </w:tc>
        <w:tc>
          <w:tcPr>
            <w:tcW w:type="dxa" w:w="2822"/>
          </w:tcPr>
          <w:p>
            <w:r>
              <w:t xml:space="preserve">No detectat</w:t>
            </w:r>
          </w:p>
        </w:tc>
      </w:tr>
    </w:tbl>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Sondeigs a rotació</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Sondeig</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(msnm*)</w:t>
            </w:r>
            <w:proofErr w:type="spellStart"/>
            <w:proofErr w:type="spellEnd"/>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N.F. (m)</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Observacions</w:t>
            </w:r>
          </w:p>
        </w:tc>
      </w:tr>
      <w:tr>
        <w:tc>
          <w:tcPr>
            <w:tcW w:type="dxa" w:w="1756"/>
          </w:tcPr>
          <w:p>
            <w:r>
              <w:t xml:space="preserve">S-1</w:t>
            </w:r>
          </w:p>
        </w:tc>
        <w:tc>
          <w:tcPr>
            <w:tcW w:type="dxa" w:w="1409"/>
          </w:tcPr>
          <w:p>
            <w:r>
              <w:t xml:space="preserve">+569.50</w:t>
            </w:r>
          </w:p>
        </w:tc>
        <w:tc>
          <w:tcPr>
            <w:tcW w:type="dxa" w:w="1417"/>
          </w:tcPr>
          <w:p>
            <w:r>
              <w:t xml:space="preserve">-1.20</w:t>
            </w:r>
          </w:p>
        </w:tc>
        <w:tc>
          <w:tcPr>
            <w:tcW w:type="dxa" w:w="993"/>
          </w:tcPr>
          <w:p>
            <w:r>
              <w:t xml:space="preserve">No detectat</w:t>
            </w:r>
          </w:p>
        </w:tc>
        <w:tc>
          <w:tcPr>
            <w:tcW w:type="dxa" w:w="2822"/>
          </w:tcPr>
          <w:p>
            <w:r>
              <w:t xml:space="preserve">2 capes detectades</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-1.0 a -1.2</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103100:95</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 xml:space="preserve">La zona que avarca aquest estudi es troba situada dins la Depressió Prelitoral Catalana, concretament a la fossa tectònica del Vallès-Penedès. Aquesta és una estructura d'origen extensional que forma part del sistema de fosses neògenes que caracteritzen el marge oriental de la Península Ibèrica, desenvolupada principalment durant el Miocè.</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p w:rsidR="007741E4" w:rsidRPr="00E64594" w:rsidRDefault="007741E4" w:rsidP="007741E4">
      <w:pPr>
        <w:rPr>
          <w:rFonts w:eastAsia="Dotum"/>
          <w:szCs w:val="20"/>
        </w:rPr>
      </w:pPr>
      <w:r w:rsidRPr="00E64594">
        <w:rPr>
          <w:rFonts w:eastAsia="Dotum"/>
          <w:szCs w:val="20"/>
        </w:rPr>
        <w:t xml:space="preserve">La fossa del Vallès-Penedès està relacionada amb l'obertura de la Mediterrània occidental i la formació del solc de València durant el Neogen. Es desenvolupa com a resposta a l'extensió crustal que va afectar el marge ibèric, generant un sistema de falles normals que van delimitar aquesta depressió entre la Serralada Prelitoral, al nord-oest, i la Serralada Litoral, al sud-est.</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Durant el Miocè, la fossa del Vallès-Penedès va actuar com a conca sedimentària, alternant períodes de sedimentació marina i continental. Els sediments miocens inclouen fàcies marines (margues, calcàries i gresos) corresponents a les transgressions mediterrànies, i fàcies continentals al·luvials i lacustres als marges de la conca.</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 partir del Pliocè i durant el Quaternari, la conca ha estat reblerta progressivament per sediments continentals. Els materials quaternaris inclouen dipòsits al·luvials, cons de dejecció procedents de les serralades adjacents, i terrasses fluvials associades als cursos d'aigua principals com el Llobregat i els seus afluents.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l'actualitat, la Depressió del Vallès-Penedès presenta una morfologia plana o suaument ondulada, amb relleus residuals formats per materials més resistents. Els processos actius inclouen la sedimentació al·luvial als fons de vall i l'erosió als vessants de les serralades que l'emmarquen. La zona urbanitzada se situa predominantment sobre els dipòsits quaternaris més recents.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concret, i segons l'Institut Cartogràfic i Geològic de Catalunya (ICGC), afloren els materials de la unitat PEcg, corresponents a conglomerats heteromètrics del Eocè.</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
      </w:r>
      <w:r>
        <w:drawing>
          <wp:inline xmlns:a="http://schemas.openxmlformats.org/drawingml/2006/main" xmlns:pic="http://schemas.openxmlformats.org/drawingml/2006/picture">
            <wp:extent cx="5400000" cy="4050000"/>
            <wp:docPr id="1005" name="Picture 1"/>
            <wp:cNvGraphicFramePr>
              <a:graphicFrameLocks noChangeAspect="1"/>
            </wp:cNvGraphicFramePr>
            <a:graphic>
              <a:graphicData uri="http://schemas.openxmlformats.org/drawingml/2006/picture">
                <pic:pic>
                  <pic:nvPicPr>
                    <pic:cNvPr id="0" name="geological_423182_4609623.jpg"/>
                    <pic:cNvPicPr/>
                  </pic:nvPicPr>
                  <pic:blipFill>
                    <a:blip r:embed="rId27"/>
                    <a:stretch>
                      <a:fillRect/>
                    </a:stretch>
                  </pic:blipFill>
                  <pic:spPr>
                    <a:xfrm>
                      <a:off x="0" y="0"/>
                      <a:ext cx="5400000" cy="4050000"/>
                    </a:xfrm>
                    <a:prstGeom prst="rect"/>
                  </pic:spPr>
                </pic:pic>
              </a:graphicData>
            </a:graphic>
          </wp:inline>
        </w:drawing>
      </w:r>
      <w:r>
        <w:t xml:space="preserve"/>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2 nivells geotecnics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Llims argilosos amb grava grossa</w:t>
            </w:r>
            <w:r w:rsidR="00E64594" w:rsidRPr="00E64594">
              <w:rPr>
                <w:rFonts w:eastAsia="Dotum"/>
                <w:i/>
                <w:sz w:val="20"/>
                <w:szCs w:val="20"/>
                <w:lang w:val="ca-ES"/>
              </w:rPr>
            </w:r>
          </w:p>
        </w:tc>
      </w:tr>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2n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Roca fracturada</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llims argilosos amb grava grossa,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0.50 m, amb un gruix de 0.50 m. Aquests materials presenten un valor mitjà de N20 de 11 cops.</w:t>
        <w:br/>
        <w:t xml:space="preserve"/>
        <w:br/>
        <w:t xml:space="preserve">Des del punt de vista geomecànic es tracta d'uns materials de caràcter generalment granulars, amb una densitat i una capacitat portant mitja. Dels assaigs de penetració dinàmica es dedueix una consistència mitja.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4320000" cy="2430000"/>
            <wp:docPr id="1006" name="Picture 1"/>
            <wp:cNvGraphicFramePr>
              <a:graphicFrameLocks noChangeAspect="1"/>
            </wp:cNvGraphicFramePr>
            <a:graphic>
              <a:graphicData uri="http://schemas.openxmlformats.org/drawingml/2006/picture">
                <pic:pic>
                  <pic:nvPicPr>
                    <pic:cNvPr id="0" name="detall_materials.jpg"/>
                    <pic:cNvPicPr/>
                  </pic:nvPicPr>
                  <pic:blipFill>
                    <a:blip r:embed="rId28"/>
                    <a:stretch>
                      <a:fillRect/>
                    </a:stretch>
                  </pic:blipFill>
                  <pic:spPr>
                    <a:xfrm>
                      <a:off x="0" y="0"/>
                      <a:ext cx="4320000" cy="2430000"/>
                    </a:xfrm>
                    <a:prstGeom prst="rect"/>
                  </pic:spPr>
                </pic:pic>
              </a:graphicData>
            </a:graphic>
          </wp:inline>
        </w:drawing>
      </w:r>
      <w:r>
        <w:t xml:space="preserve"/>
      </w:r>
    </w:p>
    <w:p w:rsidR="00BE20D3" w:rsidRPr="007573C7" w:rsidRDefault="00BE20D3" w:rsidP="00BE20D3">
      <w:pPr>
        <w:pStyle w:val="Caption"/>
        <w:jc w:val="center"/>
        <w:rPr>
          <w:rFonts w:cs="Tahoma"/>
          <w:b w:val="0"/>
          <w:szCs w:val="20"/>
        </w:rPr>
      </w:pPr>
      <w:r>
        <w:t xml:space="preserve">Fotografia 4.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1er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0.50 m de profunditat, amb potències estudiades de 0.50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mitja. Dels assaigs de penetració dinàmica DPSH s'obté un valor de Nb mig de 11 cops.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BE20D3" w:rsidRPr="007573C7" w:rsidRDefault="00BE20D3" w:rsidP="00BE20D3">
      <w:pPr>
        <w:pStyle w:val="Heading3"/>
        <w:jc w:val="right"/>
        <w:rPr>
          <w:lang w:val="ca-ES"/>
        </w:rPr>
      </w:pPr>
      <w:bookmarkStart w:id="44" w:name="_Toc216857731"/>
      <w:r w:rsidRPr="007573C7">
        <w:rPr>
          <w:lang w:val="ca-ES"/>
        </w:rPr>
        <w:t xml:space="preserve">3.2.2. 2n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2 està format per roca fracturada, de coloracions marrons a vermelloses. Aquests materials presenten una composició silícia típica dels dipòsits del Vallès-Penedès, amb components procedents de l'erosió de les serralades adjacents. </w:t>
        <w:br/>
        <w:t xml:space="preserve"/>
        <w:br/>
        <w:t xml:space="preserve">Aquest nivell s'ha identificat com a materials eocè, unitat PEcg segons l'ICGC.</w:t>
        <w:br/>
        <w:t xml:space="preserve"/>
        <w:br/>
        <w:t xml:space="preserve">A partir dels assaigs realitzats, aquest nivell es detecta a partir de 0.50 m i fins a 1.20 m, amb un gruix de 0.70 m. Aquests materials presenten un valor mitjà de N20 de 43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4320000" cy="2430000"/>
            <wp:docPr id="1007" name="Picture 1"/>
            <wp:cNvGraphicFramePr>
              <a:graphicFrameLocks noChangeAspect="1"/>
            </wp:cNvGraphicFramePr>
            <a:graphic>
              <a:graphicData uri="http://schemas.openxmlformats.org/drawingml/2006/picture">
                <pic:pic>
                  <pic:nvPicPr>
                    <pic:cNvPr id="0" name="detall_materials.jpg"/>
                    <pic:cNvPicPr/>
                  </pic:nvPicPr>
                  <pic:blipFill>
                    <a:blip r:embed="rId28"/>
                    <a:stretch>
                      <a:fillRect/>
                    </a:stretch>
                  </pic:blipFill>
                  <pic:spPr>
                    <a:xfrm>
                      <a:off x="0" y="0"/>
                      <a:ext cx="4320000" cy="2430000"/>
                    </a:xfrm>
                    <a:prstGeom prst="rect"/>
                  </pic:spPr>
                </pic:pic>
              </a:graphicData>
            </a:graphic>
          </wp:inline>
        </w:drawing>
      </w:r>
      <w:r>
        <w:t xml:space="preserve"/>
      </w:r>
    </w:p>
    <w:p w:rsidR="00BE20D3" w:rsidRPr="007573C7" w:rsidRDefault="00BE20D3" w:rsidP="00BE20D3">
      <w:pPr>
        <w:pStyle w:val="Caption"/>
        <w:jc w:val="center"/>
        <w:rPr>
          <w:rFonts w:cs="Tahoma"/>
          <w:b w:val="0"/>
          <w:szCs w:val="20"/>
        </w:rPr>
      </w:pPr>
      <w:r>
        <w:t xml:space="preserve">Fotografia 4. Detall dels materials del 2n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2n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a partir de 0.50 m i fins a 1.20 m de profunditat, amb potències estudiades de 0.70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elevada. Dels assaigs de penetració dinàmica DPSH s'obté un valor de Nb mig de 43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10^-2 a 10^-4</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Llims argilosos amb grava grossa</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2n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10^-3 a 10^-5</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Roca fracturada</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en planta baixa,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Castellar Del Valles</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 xml:space="preserve">AB  =0.04 g  (essent g el valor de la gravetat)</w:t>
      </w:r>
      <w:r w:rsidRPr="006A230B">
        <w:rPr>
          <w:rFonts w:eastAsia="Dotum"/>
          <w:szCs w:val="20"/>
          <w:vertAlign w:val="subscript"/>
        </w:rPr>
      </w:r>
      <w:r w:rsidRPr="006A230B">
        <w:rPr>
          <w:rFonts w:eastAsia="Dotum"/>
          <w:szCs w:val="20"/>
        </w:rPr>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0.50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1.6</w:t>
            </w:r>
            <w:r w:rsidR="00CE3D59" w:rsidRPr="006A230B">
              <w:rPr>
                <w:sz w:val="18"/>
                <w:szCs w:val="18"/>
              </w:rPr>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2</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0.70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1.3</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Castellar Del Valles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detecten 2 nivells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llims argilosos amb grava grossa,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0.50 m, amb un gruix de 0.50 m. Aquests materials presenten un valor mitjà de N20 de 11 cops.</w:t>
        <w:br/>
        <w:t xml:space="preserve"/>
        <w:br/>
        <w:t xml:space="preserve">Des del punt de vista geomecànic es tracta d'uns materials de caràcter generalment granulars, amb una densitat i una capacitat portant mitja. Dels assaigs de penetració dinàmica es dedueix una consistència mitja.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8" name="Picture 1"/>
            <wp:cNvGraphicFramePr>
              <a:graphicFrameLocks noChangeAspect="1"/>
            </wp:cNvGraphicFramePr>
            <a:graphic>
              <a:graphicData uri="http://schemas.openxmlformats.org/drawingml/2006/picture">
                <pic:pic>
                  <pic:nvPicPr>
                    <pic:cNvPr id="0" name="tall_tall.jpg"/>
                    <pic:cNvPicPr/>
                  </pic:nvPicPr>
                  <pic:blipFill>
                    <a:blip r:embed="rId29"/>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Llims argilosos amb grava grossa.</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7-19</w:t>
            </w:r>
          </w:p>
        </w:tc>
        <w:tc>
          <w:tcPr>
            <w:tcW w:w="720" w:type="dxa"/>
            <w:vAlign w:val="center"/>
          </w:tcPr>
          <w:p w:rsidR="00C636E0" w:rsidRPr="00B33352" w:rsidRDefault="009170EC" w:rsidP="00565297">
            <w:pPr>
              <w:jc w:val="center"/>
              <w:rPr>
                <w:sz w:val="18"/>
                <w:szCs w:val="18"/>
              </w:rPr>
            </w:pPr>
            <w:r w:rsidRPr="00B33352">
              <w:rPr>
                <w:sz w:val="18"/>
                <w:szCs w:val="18"/>
              </w:rPr>
              <w:t xml:space="preserve">11</w:t>
            </w:r>
          </w:p>
        </w:tc>
        <w:tc>
          <w:tcPr>
            <w:tcW w:w="1134" w:type="dxa"/>
            <w:vAlign w:val="center"/>
          </w:tcPr>
          <w:p w:rsidR="00C77253" w:rsidRPr="00B33352" w:rsidRDefault="00B33352" w:rsidP="00C77253">
            <w:pPr>
              <w:jc w:val="center"/>
              <w:rPr>
                <w:sz w:val="18"/>
                <w:szCs w:val="18"/>
              </w:rPr>
            </w:pPr>
            <w:r w:rsidRPr="00B33352">
              <w:rPr>
                <w:sz w:val="18"/>
                <w:szCs w:val="18"/>
              </w:rPr>
              <w:t xml:space="preserve">2.01</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30°</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109</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2n nivell. Roca fracturada.</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10-R</w:t>
            </w:r>
          </w:p>
        </w:tc>
        <w:tc>
          <w:tcPr>
            <w:tcW w:w="720" w:type="dxa"/>
            <w:vAlign w:val="center"/>
          </w:tcPr>
          <w:p w:rsidR="00C636E0" w:rsidRPr="00B33352" w:rsidRDefault="009170EC" w:rsidP="00565297">
            <w:pPr>
              <w:jc w:val="center"/>
              <w:rPr>
                <w:sz w:val="18"/>
                <w:szCs w:val="18"/>
              </w:rPr>
            </w:pPr>
            <w:r w:rsidRPr="00B33352">
              <w:rPr>
                <w:sz w:val="18"/>
                <w:szCs w:val="18"/>
              </w:rPr>
              <w:t xml:space="preserve">43</w:t>
            </w:r>
          </w:p>
        </w:tc>
        <w:tc>
          <w:tcPr>
            <w:tcW w:w="1134" w:type="dxa"/>
            <w:vAlign w:val="center"/>
          </w:tcPr>
          <w:p w:rsidR="00C77253" w:rsidRPr="00B33352" w:rsidRDefault="00B33352" w:rsidP="00C77253">
            <w:pPr>
              <w:jc w:val="center"/>
              <w:rPr>
                <w:sz w:val="18"/>
                <w:szCs w:val="18"/>
              </w:rPr>
            </w:pPr>
            <w:r w:rsidRPr="00B33352">
              <w:rPr>
                <w:sz w:val="18"/>
                <w:szCs w:val="18"/>
              </w:rPr>
              <w:t xml:space="preserve">2.20</w:t>
            </w:r>
          </w:p>
        </w:tc>
        <w:tc>
          <w:tcPr>
            <w:tcW w:w="1134" w:type="dxa"/>
            <w:vAlign w:val="center"/>
          </w:tcPr>
          <w:p w:rsidR="00C636E0" w:rsidRPr="00B33352" w:rsidRDefault="00B33352" w:rsidP="00EF7435">
            <w:pPr>
              <w:jc w:val="center"/>
              <w:rPr>
                <w:sz w:val="18"/>
                <w:szCs w:val="18"/>
              </w:rPr>
            </w:pPr>
            <w:r w:rsidRPr="00B33352">
              <w:rPr>
                <w:sz w:val="18"/>
                <w:szCs w:val="18"/>
              </w:rPr>
              <w:t xml:space="preserve">1.00</w:t>
            </w:r>
          </w:p>
        </w:tc>
        <w:tc>
          <w:tcPr>
            <w:tcW w:w="1134" w:type="dxa"/>
            <w:vAlign w:val="center"/>
          </w:tcPr>
          <w:p w:rsidR="00C636E0" w:rsidRPr="00B33352" w:rsidRDefault="00B33352" w:rsidP="00EF7435">
            <w:pPr>
              <w:jc w:val="center"/>
              <w:rPr>
                <w:sz w:val="18"/>
                <w:szCs w:val="18"/>
              </w:rPr>
            </w:pPr>
            <w:r w:rsidRPr="00B33352">
              <w:rPr>
                <w:sz w:val="18"/>
                <w:szCs w:val="18"/>
              </w:rPr>
              <w:t xml:space="preserve">35°</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500</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 </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A partir dels resultats dels assaigs de laboratori realitzats, els materials del </w:t>
      </w:r>
      <w:proofErr w:type="spellStart"/>
      <w:r w:rsidRPr="007B0AB3">
        <w:rPr>
          <w:rFonts w:eastAsia="Dotum"/>
          <w:szCs w:val="20"/>
        </w:rPr>
        <w:t>subsòl</w:t>
      </w:r>
      <w:proofErr w:type="spellEnd"/>
      <w:r w:rsidRPr="007B0AB3">
        <w:rPr>
          <w:rFonts w:eastAsia="Dotum"/>
          <w:szCs w:val="20"/>
        </w:rPr>
        <w:t xml:space="preserve"> on es preveu armar la fonamentació, es presenten no agressius al formigó</w:t>
      </w:r>
      <w:r w:rsidR="00DE278A" w:rsidRPr="007B0AB3">
        <w:rPr>
          <w:rFonts w:eastAsia="Dotum"/>
          <w:szCs w:val="20"/>
        </w:rPr>
        <w:t>.</w:t>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en planta baixa,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3.18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0.72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5.0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0E60F8" w:rsidRPr="00306C3C" w:rsidRDefault="000E60F8" w:rsidP="00233428">
      <w:pPr>
        <w:pStyle w:val="Heading2"/>
        <w:rPr>
          <w:rFonts w:eastAsia="Dotum"/>
          <w:szCs w:val="20"/>
        </w:rPr>
      </w:pPr>
      <w:r>
        <w:t xml:space="preserve">4.4. EMPENTES DE TERRES</w:t>
      </w:r>
    </w:p>
    <w:p w:rsidR="000E60F8" w:rsidRPr="00306C3C" w:rsidRDefault="000E60F8" w:rsidP="00233428">
      <w:pPr>
        <w:rPr>
          <w:rFonts w:eastAsia="Dotum"/>
          <w:szCs w:val="20"/>
        </w:rPr>
      </w:pPr>
      <w:r>
        <w:t xml:space="preserve">Per al disseny dels murs de contenció, s'han calculat els coeficients d'empenta de Rankine:</w:t>
        <w:br/>
        <w:t xml:space="preserve"/>
        <w:br/>
        <w:t xml:space="preserve">- Coeficient d'empenta activa: Ka = 0.271</w:t>
        <w:br/>
        <w:t xml:space="preserve">- Coeficient d'empenta passiva: Kp = 3.690</w:t>
        <w:br/>
        <w:t xml:space="preserve"/>
        <w:br/>
        <w:t xml:space="preserve">Amb un angle de fricció interna de 35 i una densitat de 2.20 g/cm3.</w:t>
      </w:r>
    </w:p>
    <w:p w:rsidR="002A7710" w:rsidRPr="00306C3C" w:rsidRDefault="002A7710" w:rsidP="00233428">
      <w:pPr>
        <w:pStyle w:val="Heading2"/>
        <w:rPr>
          <w:rFonts w:eastAsia="Dotum"/>
          <w:szCs w:val="20"/>
        </w:rPr>
      </w:pPr>
      <w:r>
        <w:t xml:space="preserve">4.5. ESTABILITAT DE VESSANT</w:t>
      </w:r>
    </w:p>
    <w:p w:rsidR="000E60F8" w:rsidRPr="00306C3C" w:rsidRDefault="007B0AB3" w:rsidP="00233428">
      <w:pPr>
        <w:rPr>
          <w:rFonts w:eastAsia="Dotum"/>
          <w:szCs w:val="20"/>
        </w:rPr>
      </w:pPr>
      <w:r>
        <w:rPr>
          <w:rFonts w:eastAsia="Dotum"/>
          <w:szCs w:val="20"/>
        </w:rPr>
        <w:t xml:space="preserve">Per a la realitzacio de les recomanacions d'estabilitat de talussos s'han tingut en compte les seguents premisses:</w:t>
        <w:br/>
        <w:t xml:space="preserve"/>
        <w:br/>
        <w:t xml:space="preserve">- El solar presenta un pendent del 36% (20 graus) en direccio SE.</w:t>
        <w:br/>
        <w:t xml:space="preserve">- Talussos sense presencia de nivell freatic.</w:t>
        <w:br/>
        <w:t xml:space="preserve">- Factor de seguretat minim F=1.5 (CTE DB SE-C apartat 7.2.2.1, situacio persistent).</w:t>
        <w:br/>
        <w:t xml:space="preserve">- S'han considerat els parametres geomecanics del 1r nivell (Llims argilosos amb grava grossa) (phi=35 graus, gamma=2.20 g/cm3, c=1.00 kg/cm2).</w:t>
        <w:br/>
        <w:t xml:space="preserve"/>
        <w:br/>
        <w:t xml:space="preserve">El metode de calcul utilitzat es el de ruptura circular (Hoek  Bray (1977), abac n1 (talus sec)), aplicable a talussos amb cohesio on la superficie de ruptura es de tipus circular.</w:t>
        <w:br/>
        <w:t xml:space="preserve"/>
        <w:br/>
        <w:t xml:space="preserve">Amb c=1.00 kg/cm2, H=4.0 m, beta=20 graus: FS = 10.47</w:t>
        <w:br/>
        <w:t xml:space="preserve"/>
        <w:br/>
        <w:t xml:space="preserve">El factor de seguretat obtingut (FS=10.47) es superior al minim exigit (F=1.5), complint les premisses del CTE.</w:t>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3001621</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25 de febrer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