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pPr>
        <w:pStyle w:val="TOC2"/>
      </w:pPr>
      <w:r>
        <w:t xml:space="preserve">4.4. EMPENTES DE TERRES</w:t>
      </w:r>
    </w:p>
    <w:p>
      <w:pPr>
        <w:pStyle w:val="TOC2"/>
      </w:pPr>
      <w:r>
        <w:t xml:space="preserve">4.5. ESTABILITAT DE VESSANT</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xml:space="preserve"/>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 xml:space="preserve">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de l'Viviendas Modulares, en nom de , es vol valorar les característiques geològiques i geotècniques d'una zona on es preveu la construcció d'un habitatge aïllat.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xml:space="preserve"/>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xml:space="preserve"/>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xml:space="preserve"/>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entre el  i el parcel·la veïna de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xml:space="preserve">[Imatge pendent]</w:t>
            </w:r>
          </w:p>
        </w:tc>
        <w:tc>
          <w:tcPr>
            <w:tcW w:type="dxa" w:w="4252"/>
          </w:tcPr>
          <w:p>
            <w:pPr>
              <w:jc w:val="center"/>
            </w:pPr>
            <w:r>
              <w:t xml:space="preserve"/>
            </w:r>
            <w:r>
              <w:drawing>
                <wp:inline xmlns:a="http://schemas.openxmlformats.org/drawingml/2006/main" xmlns:pic="http://schemas.openxmlformats.org/drawingml/2006/picture">
                  <wp:extent cx="2520000" cy="1890000"/>
                  <wp:docPr id="1001" name="Picture 1"/>
                  <wp:cNvGraphicFramePr>
                    <a:graphicFrameLocks noChangeAspect="1"/>
                  </wp:cNvGraphicFramePr>
                  <a:graphic>
                    <a:graphicData uri="http://schemas.openxmlformats.org/drawingml/2006/picture">
                      <pic:pic>
                        <pic:nvPicPr>
                          <pic:cNvPr id="0" name="ortho_418215_4595658.jpg"/>
                          <pic:cNvPicPr/>
                        </pic:nvPicPr>
                        <pic:blipFill>
                          <a:blip r:embed="rId24"/>
                          <a:stretch>
                            <a:fillRect/>
                          </a:stretch>
                        </pic:blipFill>
                        <pic:spPr>
                          <a:xfrm>
                            <a:off x="0" y="0"/>
                            <a:ext cx="2520000" cy="1890000"/>
                          </a:xfrm>
                          <a:prstGeom prst="rect"/>
                        </pic:spPr>
                      </pic:pic>
                    </a:graphicData>
                  </a:graphic>
                </wp:inline>
              </w:drawing>
            </w:r>
            <w:r>
              <w:t xml:space="preserve"/>
            </w:r>
          </w:p>
        </w:tc>
      </w:tr>
    </w:tbl>
    <w:p w:rsidR="00005510" w:rsidRPr="007573C7" w:rsidRDefault="000A20BD" w:rsidP="00AE169B">
      <w:pPr>
        <w:jc w:val="center"/>
        <w:rPr>
          <w:rFonts w:eastAsia="Dotum"/>
          <w:szCs w:val="20"/>
        </w:rPr>
      </w:pPr>
      <w:r>
        <w:rPr>
          <w:sz w:val="16"/>
        </w:rPr>
        <w:t xml:space="preserve">Figura 1 i Figura 2. Detall de la ubicació de la parcel·la en estudi. Font: Projecte.</w:t>
      </w:r>
    </w:p>
    <w:p w:rsidR="00CF1DDD" w:rsidRPr="007573C7" w:rsidRDefault="00822486" w:rsidP="009E554B">
      <w:pPr>
        <w:jc w:val="center"/>
        <w:rPr>
          <w:rFonts w:eastAsia="Dotum"/>
          <w:bCs/>
          <w:szCs w:val="20"/>
        </w:rPr>
      </w:pPr>
      <w:r>
        <w:t xml:space="preserve">[Imatge pendent]</w:t>
      </w:r>
    </w:p>
    <w:p w:rsidR="009E554B" w:rsidRPr="007573C7" w:rsidRDefault="009E554B" w:rsidP="009E554B">
      <w:pPr>
        <w:jc w:val="center"/>
        <w:rPr>
          <w:rFonts w:eastAsia="Dotum"/>
          <w:bCs/>
          <w:szCs w:val="20"/>
        </w:rPr>
      </w:pPr>
      <w:r>
        <w:rPr>
          <w:sz w:val="16"/>
        </w:rPr>
        <w:t xml:space="preserve">Figura 3.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xml:space="preserve">C-1</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xml:space="preserve">T-1</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xml:space="preserve">14 de novembre de 2025</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xml:space="preserve">Rubi</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 xml:space="preserve">,</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Per la part nord amb una parcel·la veïna.</w:t>
      </w:r>
    </w:p>
    <w:p w:rsidR="009C46A9" w:rsidRPr="00AE169B" w:rsidRDefault="00CC459A" w:rsidP="009C46A9">
      <w:pPr>
        <w:numPr>
          <w:ilvl w:val="0"/>
          <w:numId w:val="20"/>
        </w:numPr>
        <w:rPr>
          <w:szCs w:val="20"/>
        </w:rPr>
      </w:pPr>
      <w:r>
        <w:rPr>
          <w:szCs w:val="20"/>
        </w:rPr>
        <w:t xml:space="preserve">Per la part sud amb una parcel·la veïna.</w:t>
      </w:r>
    </w:p>
    <w:p w:rsidR="009C46A9" w:rsidRPr="00AE169B" w:rsidRDefault="00E1171C" w:rsidP="002F49B5">
      <w:pPr>
        <w:numPr>
          <w:ilvl w:val="0"/>
          <w:numId w:val="20"/>
        </w:numPr>
        <w:rPr>
          <w:szCs w:val="20"/>
        </w:rPr>
      </w:pPr>
      <w:r>
        <w:rPr/>
        <w:t xml:space="preserve">Per la part est amb una parcel·la veïna.</w:t>
      </w:r>
    </w:p>
    <w:p w:rsidR="009C46A9" w:rsidRPr="00AE169B" w:rsidRDefault="00E1171C" w:rsidP="002F49B5">
      <w:pPr>
        <w:numPr>
          <w:ilvl w:val="0"/>
          <w:numId w:val="20"/>
        </w:numPr>
        <w:rPr>
          <w:szCs w:val="20"/>
        </w:rPr>
      </w:pPr>
      <w:r>
        <w:rPr>
          <w:szCs w:val="20"/>
        </w:rPr>
        <w:t xml:space="preserve">I finalment, per la part oest amb una parcel·la veïna.</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 xml:space="preserve">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w:t>
      </w:r>
    </w:p>
    <w:p w:rsidR="00BB4038" w:rsidRPr="00AE169B" w:rsidRDefault="00BB4038" w:rsidP="00AD3A9F">
      <w:pPr>
        <w:rPr>
          <w:szCs w:val="20"/>
        </w:rPr>
      </w:pPr>
    </w:p>
    <w:p w:rsidR="00202A70" w:rsidRPr="00AE169B" w:rsidRDefault="00202A70" w:rsidP="00202A70">
      <w:pPr>
        <w:rPr>
          <w:szCs w:val="20"/>
        </w:rPr>
      </w:pPr>
      <w:r w:rsidRPr="00AE169B">
        <w:rPr>
          <w:szCs w:val="20"/>
        </w:rPr>
        <w:t xml:space="preserve"/>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xml:space="preserve"/>
            </w:r>
            <w:r>
              <w:drawing>
                <wp:inline xmlns:a="http://schemas.openxmlformats.org/drawingml/2006/main" xmlns:pic="http://schemas.openxmlformats.org/drawingml/2006/picture">
                  <wp:extent cx="4320000" cy="2430000"/>
                  <wp:docPr id="1002" name="Picture 1"/>
                  <wp:cNvGraphicFramePr>
                    <a:graphicFrameLocks noChangeAspect="1"/>
                  </wp:cNvGraphicFramePr>
                  <a:graphic>
                    <a:graphicData uri="http://schemas.openxmlformats.org/drawingml/2006/picture">
                      <pic:pic>
                        <pic:nvPicPr>
                          <pic:cNvPr id="0" name="P1.jpg"/>
                          <pic:cNvPicPr/>
                        </pic:nvPicPr>
                        <pic:blipFill>
                          <a:blip r:embed="rId25"/>
                          <a:stretch>
                            <a:fillRect/>
                          </a:stretch>
                        </pic:blipFill>
                        <pic:spPr>
                          <a:xfrm>
                            <a:off x="0" y="0"/>
                            <a:ext cx="4320000" cy="2430000"/>
                          </a:xfrm>
                          <a:prstGeom prst="rect"/>
                        </pic:spPr>
                      </pic:pic>
                    </a:graphicData>
                  </a:graphic>
                </wp:inline>
              </w:drawing>
            </w:r>
            <w:r>
              <w:t xml:space="preserve"/>
            </w:r>
          </w:p>
        </w:tc>
        <w:tc>
          <w:tcPr>
            <w:tcW w:type="dxa" w:w="4153"/>
          </w:tcPr>
          <w:p>
            <w:pPr>
              <w:jc w:val="center"/>
            </w:pPr>
            <w:r>
              <w:t xml:space="preserve"/>
            </w:r>
            <w:r>
              <w:drawing>
                <wp:inline xmlns:a="http://schemas.openxmlformats.org/drawingml/2006/main" xmlns:pic="http://schemas.openxmlformats.org/drawingml/2006/picture">
                  <wp:extent cx="4320000" cy="2430000"/>
                  <wp:docPr id="1003" name="Picture 1"/>
                  <wp:cNvGraphicFramePr>
                    <a:graphicFrameLocks noChangeAspect="1"/>
                  </wp:cNvGraphicFramePr>
                  <a:graphic>
                    <a:graphicData uri="http://schemas.openxmlformats.org/drawingml/2006/picture">
                      <pic:pic>
                        <pic:nvPicPr>
                          <pic:cNvPr id="0" name="P2.jpg"/>
                          <pic:cNvPicPr/>
                        </pic:nvPicPr>
                        <pic:blipFill>
                          <a:blip r:embed="rId26"/>
                          <a:stretch>
                            <a:fillRect/>
                          </a:stretch>
                        </pic:blipFill>
                        <pic:spPr>
                          <a:xfrm>
                            <a:off x="0" y="0"/>
                            <a:ext cx="4320000" cy="2430000"/>
                          </a:xfrm>
                          <a:prstGeom prst="rect"/>
                        </pic:spPr>
                      </pic:pic>
                    </a:graphicData>
                  </a:graphic>
                </wp:inline>
              </w:drawing>
            </w:r>
            <w:r>
              <w:t xml:space="preserve"/>
            </w:r>
          </w:p>
        </w:tc>
      </w:tr>
    </w:tbl>
    <w:p w:rsidR="00A8765B" w:rsidRPr="007573C7" w:rsidRDefault="00A8765B" w:rsidP="00BB4038">
      <w:pPr>
        <w:pStyle w:val="Caption"/>
        <w:jc w:val="center"/>
        <w:rPr>
          <w:rFonts w:eastAsia="Dotum"/>
          <w:b w:val="0"/>
          <w:bCs w:val="0"/>
          <w:szCs w:val="20"/>
        </w:rPr>
      </w:pPr>
      <w:r>
        <w:t xml:space="preserve">Fotografia 1.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xml:space="preserve">14 de novembre de 2025</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3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 xml:space="preserve">Els assaigs in situ han estat realitzats per TPS PROSPECCIÓ DEL SUBSÒL SL, laboratori d'assaigs per al control de qualitat de l'edificació.</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xml:space="preserve">[Imatge pendent]</w:t>
      </w:r>
    </w:p>
    <w:p w:rsidR="007214A0" w:rsidRDefault="004D2237" w:rsidP="00AE169B">
      <w:pPr>
        <w:pStyle w:val="Caption"/>
        <w:rPr>
          <w:rFonts w:eastAsia="Dotum"/>
          <w:b w:val="0"/>
          <w:bCs w:val="0"/>
          <w:szCs w:val="20"/>
        </w:rPr>
      </w:pPr>
      <w:r>
        <w:t xml:space="preserve">Fotografia 2. Vista de la màquina utilitzada en un dels assaigs de penetració dinàmica DPSH.</w:t>
      </w:r>
    </w:p>
    <w:p w:rsidR="00AE169B" w:rsidRDefault="00AE169B" w:rsidP="00AE169B"/>
    <w:p w:rsidR="00AE169B" w:rsidRPr="00AE169B" w:rsidRDefault="00AE169B" w:rsidP="00AE169B"/>
    <w:p w:rsidR="00AD3A9F" w:rsidRPr="007573C7" w:rsidRDefault="00AD3A9F" w:rsidP="00AD3A9F">
      <w:pPr>
        <w:pStyle w:val="Heading3"/>
        <w:jc w:val="right"/>
        <w:rPr>
          <w:lang w:val="ca-ES"/>
        </w:rPr>
      </w:pPr>
      <w:bookmarkStart w:id="34" w:name="_Toc50044968"/>
      <w:bookmarkStart w:id="35" w:name="_Toc216857725"/>
      <w:r w:rsidRPr="007573C7">
        <w:rPr>
          <w:lang w:val="ca-ES"/>
        </w:rPr>
        <w:t xml:space="preserve">2.4.2.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xml:space="preserve"/>
      </w:r>
      <w:r>
        <w:drawing>
          <wp:inline xmlns:a="http://schemas.openxmlformats.org/drawingml/2006/main" xmlns:pic="http://schemas.openxmlformats.org/drawingml/2006/picture">
            <wp:extent cx="5400000" cy="2230284"/>
            <wp:docPr id="1004" name="Picture 1"/>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00000" cy="2230284"/>
                    </a:xfrm>
                    <a:prstGeom prst="rect"/>
                  </pic:spPr>
                </pic:pic>
              </a:graphicData>
            </a:graphic>
          </wp:inline>
        </w:drawing>
      </w:r>
      <w:r>
        <w:t xml:space="preserve"/>
      </w:r>
    </w:p>
    <w:p w:rsidR="00974866" w:rsidRPr="007573C7" w:rsidRDefault="00974866" w:rsidP="00AE169B">
      <w:pPr>
        <w:pStyle w:val="Caption"/>
        <w:rPr>
          <w:rFonts w:eastAsia="Dotum"/>
          <w:b w:val="0"/>
          <w:bCs w:val="0"/>
          <w:i/>
          <w:szCs w:val="20"/>
        </w:rPr>
      </w:pPr>
      <w:r>
        <w:t xml:space="preserve">Figura 4.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xml:space="preserve">2.4.3.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tc>
          <w:tcPr>
            <w:tcW w:type="dxa" w:w="1756"/>
          </w:tcPr>
          <w:p>
            <w:r>
              <w:t xml:space="preserve">P-1</w:t>
            </w:r>
          </w:p>
        </w:tc>
        <w:tc>
          <w:tcPr>
            <w:tcW w:type="dxa" w:w="1409"/>
          </w:tcPr>
          <w:p>
            <w:r>
              <w:t xml:space="preserve">+209.50</w:t>
            </w:r>
          </w:p>
        </w:tc>
        <w:tc>
          <w:tcPr>
            <w:tcW w:type="dxa" w:w="1417"/>
          </w:tcPr>
          <w:p>
            <w:r>
              <w:t xml:space="preserve">-4.60</w:t>
            </w:r>
          </w:p>
        </w:tc>
        <w:tc>
          <w:tcPr>
            <w:tcW w:type="dxa" w:w="993"/>
          </w:tcPr>
          <w:p>
            <w:r>
              <w:t xml:space="preserve">Si</w:t>
            </w:r>
          </w:p>
        </w:tc>
        <w:tc>
          <w:tcPr>
            <w:tcW w:type="dxa" w:w="2822"/>
          </w:tcPr>
          <w:p>
            <w:r>
              <w:t xml:space="preserve">No detectat</w:t>
            </w:r>
          </w:p>
        </w:tc>
      </w:tr>
      <w:tr>
        <w:tc>
          <w:tcPr>
            <w:tcW w:type="dxa" w:w="1756"/>
          </w:tcPr>
          <w:p>
            <w:r>
              <w:t xml:space="preserve">P-2</w:t>
            </w:r>
          </w:p>
        </w:tc>
        <w:tc>
          <w:tcPr>
            <w:tcW w:type="dxa" w:w="1409"/>
          </w:tcPr>
          <w:p>
            <w:r>
              <w:t xml:space="preserve">+209.50</w:t>
            </w:r>
          </w:p>
        </w:tc>
        <w:tc>
          <w:tcPr>
            <w:tcW w:type="dxa" w:w="1417"/>
          </w:tcPr>
          <w:p>
            <w:r>
              <w:t xml:space="preserve">-3.60</w:t>
            </w:r>
          </w:p>
        </w:tc>
        <w:tc>
          <w:tcPr>
            <w:tcW w:type="dxa" w:w="993"/>
          </w:tcPr>
          <w:p>
            <w:r>
              <w:t xml:space="preserve">Si</w:t>
            </w:r>
          </w:p>
        </w:tc>
        <w:tc>
          <w:tcPr>
            <w:tcW w:type="dxa" w:w="2822"/>
          </w:tcPr>
          <w:p>
            <w:r>
              <w:t xml:space="preserve">No detectat</w:t>
            </w:r>
          </w:p>
        </w:tc>
      </w:tr>
      <w:tr>
        <w:tc>
          <w:tcPr>
            <w:tcW w:type="dxa" w:w="1756"/>
          </w:tcPr>
          <w:p>
            <w:r>
              <w:t xml:space="preserve">P-3</w:t>
            </w:r>
          </w:p>
        </w:tc>
        <w:tc>
          <w:tcPr>
            <w:tcW w:type="dxa" w:w="1409"/>
          </w:tcPr>
          <w:p>
            <w:r>
              <w:t xml:space="preserve">+209.50</w:t>
            </w:r>
          </w:p>
        </w:tc>
        <w:tc>
          <w:tcPr>
            <w:tcW w:type="dxa" w:w="1417"/>
          </w:tcPr>
          <w:p>
            <w:r>
              <w:t xml:space="preserve">-3.20</w:t>
            </w:r>
          </w:p>
        </w:tc>
        <w:tc>
          <w:tcPr>
            <w:tcW w:type="dxa" w:w="993"/>
          </w:tcPr>
          <w:p>
            <w:r>
              <w:t xml:space="preserve">Si</w:t>
            </w:r>
          </w:p>
        </w:tc>
        <w:tc>
          <w:tcPr>
            <w:tcW w:type="dxa" w:w="2822"/>
          </w:tcPr>
          <w:p>
            <w:r>
              <w:t xml:space="preserve">No detectat</w:t>
            </w: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xml:space="preserve"/>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xml:space="preserve"/>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xml:space="preserve"/>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xml:space="preserve"/>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xml:space="preserve"/>
            </w:r>
          </w:p>
        </w:tc>
      </w:tr>
    </w:tbl>
    <w:p w:rsidR="00974866" w:rsidRPr="007573C7" w:rsidRDefault="004D2237" w:rsidP="004D2237">
      <w:pPr>
        <w:pStyle w:val="Caption"/>
        <w:rPr>
          <w:rFonts w:eastAsia="Dotum"/>
          <w:b w:val="0"/>
          <w:bCs w:val="0"/>
          <w:szCs w:val="20"/>
        </w:rPr>
      </w:pPr>
      <w:r>
        <w:t xml:space="preserve">Taula 3, 4 i 5.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 xml:space="preserve">Els assaigs de laboratori han estat realitzats per TPS PROSPECCIÓ DEL SUBSÒL SL, laboratori d'assaigs per al control de qualitat de l'edificació.</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 xml:space="preserve">Mostra :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 xml:space="preserve">Punt: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 xml:space="preserve">Profunditat: -0.6 a -1.2</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xml:space="preserve">Contingut en sulfats solubles UNE 103100:95</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 xml:space="preserve">Taula 6.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xml:space="preserve">La zona que avarca aquest estudi es troba situada dins la Depressió Prelitoral Catalana, concretament a la fossa tectònica del Vallès-Penedès. Aquesta és una estructura d'origen extensional que forma part del sistema de fosses neògenes que caracteritzen el marge oriental de la Península Ibèrica, desenvolupada principalment durant el Miocè.</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xml:space="preserve">La fossa del Vallès-Penedès està relacionada amb l'obertura de la Mediterrània occidental i la formació del solc de València durant el Neogen. Es desenvolupa com a resposta a l'extensió crustal que va afectar el marge ibèric, generant un sistema de falles normals que van delimitar aquesta depressió entre la Serralada Prelitoral, al nord-oest, i la Serralada Litoral, al sud-est.</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xml:space="preserve">Durant el Miocè, la fossa del Vallès-Penedès va actuar com a conca sedimentària, alternant períodes de sedimentació marina i continental. Els sediments miocens inclouen fàcies marines (margues, calcàries i gresos) corresponents a les transgressions mediterrànies, i fàcies continentals al·luvials i lacustres als marges de la conca.</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A partir del Pliocè i durant el Quaternari, la conca ha estat reblerta progressivament per sediments continentals. Els materials quaternaris inclouen dipòsits al·luvials, cons de dejecció procedents de les serralades adjacents, i terrasses fluvials associades als cursos d'aigua principals com el Llobregat i els seus afluents.</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En l'actualitat, la Depressió del Vallès-Penedès presenta una morfologia plana o suaument ondulada, amb relleus residuals formats per materials més resistents. Els processos actius inclouen la sedimentació al·luvial als fons de vall i l'erosió als vessants de les serralades que l'emmarquen. La zona urbanitzada se situa predominantment sobre els dipòsits quaternaris més recents.</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En concret, i segons l'Institut Cartogràfic i Geològic de Catalunya (ICGC), afloren els materials de la unitat NMcg, corresponents a conglomerats amb matriu sorrenca sense cimentar del Miocè.</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xml:space="preserve"/>
      </w:r>
      <w:r>
        <w:drawing>
          <wp:inline xmlns:a="http://schemas.openxmlformats.org/drawingml/2006/main" xmlns:pic="http://schemas.openxmlformats.org/drawingml/2006/picture">
            <wp:extent cx="5400000" cy="4050000"/>
            <wp:docPr id="1005" name="Picture 1"/>
            <wp:cNvGraphicFramePr>
              <a:graphicFrameLocks noChangeAspect="1"/>
            </wp:cNvGraphicFramePr>
            <a:graphic>
              <a:graphicData uri="http://schemas.openxmlformats.org/drawingml/2006/picture">
                <pic:pic>
                  <pic:nvPicPr>
                    <pic:cNvPr id="0" name="geological_418215_4595658.jpg"/>
                    <pic:cNvPicPr/>
                  </pic:nvPicPr>
                  <pic:blipFill>
                    <a:blip r:embed="rId27"/>
                    <a:stretch>
                      <a:fillRect/>
                    </a:stretch>
                  </pic:blipFill>
                  <pic:spPr>
                    <a:xfrm>
                      <a:off x="0" y="0"/>
                      <a:ext cx="5400000" cy="4050000"/>
                    </a:xfrm>
                    <a:prstGeom prst="rect"/>
                  </pic:spPr>
                </pic:pic>
              </a:graphicData>
            </a:graphic>
          </wp:inline>
        </w:drawing>
      </w:r>
      <w:r>
        <w:t xml:space="preserve"/>
      </w:r>
    </w:p>
    <w:p w:rsidR="0046375D" w:rsidRPr="007573C7" w:rsidRDefault="0046375D" w:rsidP="00E64594">
      <w:pPr>
        <w:spacing w:before="120"/>
      </w:pPr>
      <w:r>
        <w:t xml:space="preserve">Figura 5.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xml:space="preserve">A partir dels resultats dels assaigs de penetracio dinamica realitzats, s'han identificat 1 nivell geotecnic fins a la fondaria investigada.</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1er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Nivell principal</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BE20D3" w:rsidRPr="007573C7" w:rsidRDefault="00BE20D3" w:rsidP="00BE20D3">
      <w:pPr>
        <w:pStyle w:val="Heading3"/>
        <w:jc w:val="right"/>
        <w:rPr>
          <w:lang w:val="ca-ES"/>
        </w:rPr>
      </w:pPr>
      <w:bookmarkStart w:id="44" w:name="_Toc216857731"/>
      <w:r w:rsidRPr="007573C7">
        <w:rPr>
          <w:lang w:val="ca-ES"/>
        </w:rPr>
        <w:t xml:space="preserve">3.2.1. 1er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1 està format per nivell principal,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miocè, unitat NMcg segons l'ICGC.</w:t>
        <w:br/>
        <w:t xml:space="preserve"/>
        <w:br/>
        <w:t xml:space="preserve">A partir dels assaigs realitzats, aquest nivell es detecta superficialment i fins a 4.60 m, amb un gruix de 4.60 m. Aquests materials presenten un valor mitjà de N20 de 40 cops.</w:t>
        <w:br/>
        <w:t xml:space="preserve"/>
        <w:br/>
        <w:t xml:space="preserve">Des del punt de vista geomecànic es tracta d'uns materials de caràcter generalment granulars, amb una densitat i una capacitat portant elevada. Dels assaigs de penetració dinàmica es dedueix una consistència molt compacta.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[Imatge pendent]</w:t>
      </w:r>
    </w:p>
    <w:p w:rsidR="00BE20D3" w:rsidRPr="007573C7" w:rsidRDefault="00BE20D3" w:rsidP="00BE20D3">
      <w:pPr>
        <w:pStyle w:val="Caption"/>
        <w:jc w:val="center"/>
        <w:rPr>
          <w:rFonts w:cs="Tahoma"/>
          <w:b w:val="0"/>
          <w:szCs w:val="20"/>
        </w:rPr>
      </w:pPr>
      <w:r>
        <w:t xml:space="preserve">Fotografia 3. Detall dels materials del 1er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superficialment i fins a 4.60 m de profunditat, amb potències estudiades de 4.60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elevada. Dels assaigs de penetració dinàmica DPSH s'obté un valor de Nb mig de 40 cops, assolint rebuig a la penetració pels trams més profunds.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 xml:space="preserve">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antropitzat,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1er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10^-3 a 10^-5</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Nivell principal</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 xml:space="preserve">Taula 7.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xml:space="preserve">1er nivell</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xml:space="preserve">632.3</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xml:space="preserve">---</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xml:space="preserve">No Agressius</w:t>
            </w:r>
          </w:p>
        </w:tc>
      </w:tr>
    </w:tbl>
    <w:p w:rsidR="007A3E4F" w:rsidRPr="00306C3C" w:rsidRDefault="0046793F" w:rsidP="0046793F">
      <w:pPr>
        <w:pStyle w:val="Caption"/>
        <w:jc w:val="center"/>
        <w:rPr>
          <w:rFonts w:eastAsia="Dotum"/>
          <w:b w:val="0"/>
          <w:szCs w:val="20"/>
        </w:rPr>
      </w:pPr>
      <w:r>
        <w:t xml:space="preserve">Taula 8.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sidR="00A211B4" w:rsidRPr="00306C3C" w:rsidRDefault="00A211B4" w:rsidP="00A211B4">
      <w:pPr>
        <w:pStyle w:val="Heading2"/>
        <w:ind w:firstLine="360"/>
        <w:rPr>
          <w:lang w:val="ca-ES"/>
        </w:rPr>
      </w:pPr>
      <w:bookmarkStart w:id="50" w:name="_Toc216857737"/>
      <w:r w:rsidRPr="00306C3C">
        <w:rPr>
          <w:lang w:val="ca-ES"/>
        </w:rPr>
        <w:t xml:space="preserve">3.5. EXCAVABILITAT</w:t>
      </w:r>
      <w:bookmarkEnd w:id="50"/>
    </w:p>
    <w:p w:rsidR="00E96569" w:rsidRPr="00306C3C" w:rsidRDefault="00E96569" w:rsidP="00A211B4">
      <w:pPr>
        <w:rPr>
          <w:rFonts w:eastAsia="Dotum"/>
          <w:szCs w:val="20"/>
        </w:rPr>
      </w:pPr>
    </w:p>
    <w:p w:rsidR="00290541" w:rsidRPr="00E64594" w:rsidRDefault="009D7129" w:rsidP="009D7129">
      <w:r w:rsidRPr="00E64594">
        <w:t xml:space="preserve">Segons el projecte executiu es preveu la construcció d’una estructura Habitatge aïllat,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xml:space="preserve">3.6.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xml:space="preserve">Rubi</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 xml:space="preserve">AB  =0.04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1</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4.60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1.3</w:t>
            </w:r>
            <w:r w:rsidR="00CE3D59" w:rsidRPr="006A230B">
              <w:rPr>
                <w:sz w:val="18"/>
                <w:szCs w:val="18"/>
              </w:rPr>
            </w:r>
          </w:p>
        </w:tc>
      </w:tr>
    </w:tbl>
    <w:p w:rsidR="00535288" w:rsidRPr="00306C3C" w:rsidRDefault="0046793F" w:rsidP="0046793F">
      <w:pPr>
        <w:pStyle w:val="Caption"/>
        <w:jc w:val="center"/>
        <w:rPr>
          <w:rFonts w:eastAsia="Dotum"/>
          <w:b w:val="0"/>
          <w:szCs w:val="20"/>
        </w:rPr>
      </w:pPr>
      <w:r>
        <w:t xml:space="preserve">Taula 9.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xml:space="preserve">3.7.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 xml:space="preserve">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Rubi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xml:space="preserve">Es detecta un sol nivell de materials des del punt de vista geològic/geotècnic en el subsòl del solar en estudi.</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xml:space="preserve">El nivell 1 està format per nivell principal,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miocè, unitat NMcg segons l'ICGC.</w:t>
        <w:br/>
        <w:t xml:space="preserve"/>
        <w:br/>
        <w:t xml:space="preserve">A partir dels assaigs realitzats, aquest nivell es detecta superficialment i fins a 4.60 m, amb un gruix de 4.60 m. Aquests materials presenten un valor mitjà de N20 de 40 cops.</w:t>
        <w:br/>
        <w:t xml:space="preserve"/>
        <w:br/>
        <w:t xml:space="preserve">Des del punt de vista geomecànic es tracta d'uns materials de caràcter generalment granulars, amb una densitat i una capacitat portant elevada. Dels assaigs de penetració dinàmica es dedueix una consistència molt compacta.</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5400000" cy="3817654"/>
            <wp:docPr id="1006" name="Picture 1"/>
            <wp:cNvGraphicFramePr>
              <a:graphicFrameLocks noChangeAspect="1"/>
            </wp:cNvGraphicFramePr>
            <a:graphic>
              <a:graphicData uri="http://schemas.openxmlformats.org/drawingml/2006/picture">
                <pic:pic>
                  <pic:nvPicPr>
                    <pic:cNvPr id="0" name="tall_tall.jpg"/>
                    <pic:cNvPicPr/>
                  </pic:nvPicPr>
                  <pic:blipFill>
                    <a:blip r:embed="rId28"/>
                    <a:stretch>
                      <a:fillRect/>
                    </a:stretch>
                  </pic:blipFill>
                  <pic:spPr>
                    <a:xfrm>
                      <a:off x="0" y="0"/>
                      <a:ext cx="5400000" cy="3817654"/>
                    </a:xfrm>
                    <a:prstGeom prst="rect"/>
                  </pic:spPr>
                </pic:pic>
              </a:graphicData>
            </a:graphic>
          </wp:inline>
        </w:drawing>
      </w:r>
      <w:r>
        <w:t xml:space="preserve"/>
      </w:r>
    </w:p>
    <w:p w:rsidR="00A07A7F" w:rsidRPr="00306C3C" w:rsidRDefault="00A07A7F" w:rsidP="00A07A7F">
      <w:pPr>
        <w:pStyle w:val="Caption"/>
        <w:jc w:val="center"/>
        <w:rPr>
          <w:rFonts w:eastAsia="Dotum" w:cs="Tahoma"/>
          <w:b w:val="0"/>
          <w:bCs w:val="0"/>
        </w:rPr>
      </w:pPr>
      <w:r>
        <w:t xml:space="preserve">Figura 6.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1er nivell. Nivell principal.</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12-R</w:t>
            </w:r>
          </w:p>
        </w:tc>
        <w:tc>
          <w:tcPr>
            <w:tcW w:w="720" w:type="dxa"/>
            <w:vAlign w:val="center"/>
          </w:tcPr>
          <w:p w:rsidR="00C636E0" w:rsidRPr="00B33352" w:rsidRDefault="009170EC" w:rsidP="00565297">
            <w:pPr>
              <w:jc w:val="center"/>
              <w:rPr>
                <w:sz w:val="18"/>
                <w:szCs w:val="18"/>
              </w:rPr>
            </w:pPr>
            <w:r w:rsidRPr="00B33352">
              <w:rPr>
                <w:sz w:val="18"/>
                <w:szCs w:val="18"/>
              </w:rPr>
              <w:t xml:space="preserve">39</w:t>
            </w:r>
          </w:p>
        </w:tc>
        <w:tc>
          <w:tcPr>
            <w:tcW w:w="1134" w:type="dxa"/>
            <w:vAlign w:val="center"/>
          </w:tcPr>
          <w:p w:rsidR="00C77253" w:rsidRPr="00B33352" w:rsidRDefault="00B33352" w:rsidP="00C77253">
            <w:pPr>
              <w:jc w:val="center"/>
              <w:rPr>
                <w:sz w:val="18"/>
                <w:szCs w:val="18"/>
              </w:rPr>
            </w:pPr>
            <w:r w:rsidRPr="00B33352">
              <w:rPr>
                <w:sz w:val="18"/>
                <w:szCs w:val="18"/>
              </w:rPr>
              <w:t xml:space="preserve">2.00</w:t>
            </w:r>
          </w:p>
        </w:tc>
        <w:tc>
          <w:tcPr>
            <w:tcW w:w="1134" w:type="dxa"/>
            <w:vAlign w:val="center"/>
          </w:tcPr>
          <w:p w:rsidR="00C636E0" w:rsidRPr="00B33352" w:rsidRDefault="00B33352" w:rsidP="00EF7435">
            <w:pPr>
              <w:jc w:val="center"/>
              <w:rPr>
                <w:sz w:val="18"/>
                <w:szCs w:val="18"/>
              </w:rPr>
            </w:pPr>
            <w:r w:rsidRPr="00B33352">
              <w:rPr>
                <w:sz w:val="18"/>
                <w:szCs w:val="18"/>
              </w:rPr>
              <w:t xml:space="preserve">0.00</w:t>
            </w:r>
          </w:p>
        </w:tc>
        <w:tc>
          <w:tcPr>
            <w:tcW w:w="1134" w:type="dxa"/>
            <w:vAlign w:val="center"/>
          </w:tcPr>
          <w:p w:rsidR="00C636E0" w:rsidRPr="00B33352" w:rsidRDefault="00B33352" w:rsidP="00EF7435">
            <w:pPr>
              <w:jc w:val="center"/>
              <w:rPr>
                <w:sz w:val="18"/>
                <w:szCs w:val="18"/>
              </w:rPr>
            </w:pPr>
            <w:r w:rsidRPr="00B33352">
              <w:rPr>
                <w:sz w:val="18"/>
                <w:szCs w:val="18"/>
              </w:rPr>
              <w:t xml:space="preserve">38°</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469</w:t>
            </w:r>
          </w:p>
        </w:tc>
      </w:tr>
    </w:tbl>
    <w:p w:rsidR="00FA62FC" w:rsidRPr="007573C7" w:rsidRDefault="0046793F" w:rsidP="0046793F">
      <w:pPr>
        <w:pStyle w:val="Caption"/>
        <w:jc w:val="center"/>
        <w:rPr>
          <w:rFonts w:eastAsia="Dotum"/>
          <w:b w:val="0"/>
          <w:szCs w:val="20"/>
        </w:rPr>
      </w:pPr>
      <w:r>
        <w:t xml:space="preserve">Taula 10.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 xml:space="preserve">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antropitzat,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El contingut en sulfats del terreny es de 632 mg/kg. El terreny es classifica com a NO AGRESSIU al formigó segons el Codi Estructural (CE-21).</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 xml:space="preserve">Segons el projecte executiu es preveu la construcció d’una estructura Habitatge aïllat,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 xml:space="preserve">Qa= 5.00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xml:space="preserve">Els assentaments màxims previstos per la càrrega recomanada anteriorment seran iguals o inferiors a 2.19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 xml:space="preserve">Com a valor de coeficient de balast referit a la placa de 30x30, es podrà adoptar un valor de K30= 8.3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0E60F8" w:rsidRPr="00306C3C" w:rsidRDefault="000E60F8" w:rsidP="00233428">
      <w:pPr>
        <w:pStyle w:val="Heading2"/>
        <w:rPr>
          <w:rFonts w:eastAsia="Dotum"/>
          <w:szCs w:val="20"/>
        </w:rPr>
      </w:pPr>
      <w:r>
        <w:t xml:space="preserve">4.4. EMPENTES DE TERRES</w:t>
      </w:r>
    </w:p>
    <w:p w:rsidR="000E60F8" w:rsidRPr="00306C3C" w:rsidRDefault="000E60F8" w:rsidP="00233428">
      <w:pPr>
        <w:rPr>
          <w:rFonts w:eastAsia="Dotum"/>
          <w:szCs w:val="20"/>
        </w:rPr>
      </w:pPr>
      <w:r>
        <w:t xml:space="preserve"/>
      </w:r>
    </w:p>
    <w:p w:rsidR="002A7710" w:rsidRPr="00306C3C" w:rsidRDefault="002A7710" w:rsidP="00233428">
      <w:pPr>
        <w:pStyle w:val="Heading2"/>
        <w:rPr>
          <w:rFonts w:eastAsia="Dotum"/>
          <w:szCs w:val="20"/>
        </w:rPr>
      </w:pPr>
      <w:r>
        <w:t xml:space="preserve">4.5. ESTABILITAT DE VESSANT</w:t>
      </w:r>
    </w:p>
    <w:p w:rsidR="000E60F8" w:rsidRPr="00306C3C" w:rsidRDefault="007B0AB3" w:rsidP="00233428">
      <w:pPr>
        <w:rPr>
          <w:rFonts w:eastAsia="Dotum"/>
          <w:szCs w:val="20"/>
        </w:rPr>
      </w:pPr>
      <w:r>
        <w:rPr>
          <w:rFonts w:eastAsia="Dotum"/>
          <w:szCs w:val="20"/>
        </w:rPr>
        <w:t xml:space="preserve"/>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 xml:space="preserve">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3001631</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xml:space="preserve">27 de febrer de 2026</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