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pPr>
        <w:pStyle w:val="TOC2"/>
      </w:pPr>
      <w:r>
        <w:t xml:space="preserve">4.4. EMPENTES DE TERRES</w:t>
      </w:r>
    </w:p>
    <w:p>
      <w:pPr>
        <w:pStyle w:val="TOC2"/>
      </w:pPr>
      <w:r>
        <w:t xml:space="preserve">4.5. ESTABILITAT DE VESSANT</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habitatge unifamiliar.</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PB+1PP</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400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Arbrells al sud de la parcel·la.</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Solar amb pendent pronunciada (36%), vegetació abundant, edificacions veïnes al nord i est</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1" name="Picture 1"/>
                  <wp:cNvGraphicFramePr>
                    <a:graphicFrameLocks noChangeAspect="1"/>
                  </wp:cNvGraphicFramePr>
                  <a:graphic>
                    <a:graphicData uri="http://schemas.openxmlformats.org/drawingml/2006/picture">
                      <pic:pic>
                        <pic:nvPicPr>
                          <pic:cNvPr id="0" name="vista_general_1.jpg"/>
                          <pic:cNvPicPr/>
                        </pic:nvPicPr>
                        <pic:blipFill>
                          <a:blip r:embed="rId24"/>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2430000"/>
            <wp:docPr id="1002" name="Picture 1"/>
            <wp:cNvGraphicFramePr>
              <a:graphicFrameLocks noChangeAspect="1"/>
            </wp:cNvGraphicFramePr>
            <a:graphic>
              <a:graphicData uri="http://schemas.openxmlformats.org/drawingml/2006/picture">
                <pic:pic>
                  <pic:nvPicPr>
                    <pic:cNvPr id="0" name="maquina_dpsh.jpg"/>
                    <pic:cNvPicPr/>
                  </pic:nvPicPr>
                  <pic:blipFill>
                    <a:blip r:embed="rId25"/>
                    <a:stretch>
                      <a:fillRect/>
                    </a:stretch>
                  </pic:blipFill>
                  <pic:spPr>
                    <a:xfrm>
                      <a:off x="0" y="0"/>
                      <a:ext cx="4320000" cy="243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2430000"/>
            <wp:docPr id="1003" name="Picture 1"/>
            <wp:cNvGraphicFramePr>
              <a:graphicFrameLocks noChangeAspect="1"/>
            </wp:cNvGraphicFramePr>
            <a:graphic>
              <a:graphicData uri="http://schemas.openxmlformats.org/drawingml/2006/picture">
                <pic:pic>
                  <pic:nvPicPr>
                    <pic:cNvPr id="0" name="maquina_sondeig.jpg"/>
                    <pic:cNvPicPr/>
                  </pic:nvPicPr>
                  <pic:blipFill>
                    <a:blip r:embed="rId26"/>
                    <a:stretch>
                      <a:fillRect/>
                    </a:stretch>
                  </pic:blipFill>
                  <pic:spPr>
                    <a:xfrm>
                      <a:off x="0" y="0"/>
                      <a:ext cx="4320000" cy="2430000"/>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+569.50</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5" name="Picture 1"/>
            <wp:cNvGraphicFramePr>
              <a:graphicFrameLocks noChangeAspect="1"/>
            </wp:cNvGraphicFramePr>
            <a:graphic>
              <a:graphicData uri="http://schemas.openxmlformats.org/drawingml/2006/picture">
                <pic:pic>
                  <pic:nvPicPr>
                    <pic:cNvPr id="0" name="geological_423182_4609623.jpg"/>
                    <pic:cNvPicPr/>
                  </pic:nvPicPr>
                  <pic:blipFill>
                    <a:blip r:embed="rId27"/>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2 nivells geotecnics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Llims argilosos amb grava grossa</w:t>
            </w:r>
            <w:r w:rsidR="00E64594" w:rsidRPr="00E64594">
              <w:rPr>
                <w:rFonts w:eastAsia="Dotum"/>
                <w:i/>
                <w:sz w:val="20"/>
                <w:szCs w:val="20"/>
                <w:lang w:val="ca-ES"/>
              </w:rPr>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2n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Roca fracturada</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llims argilosos amb grava grossa,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0.50 m, amb un gruix de 0.50 m. Aquests materials presenten un valor mitjà de N20 de 11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6"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0.50 m de profunditat, amb potències estudiades de 0.50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mitja. Dels assaigs de penetració dinàmica DPSH s'obté un valor de Nb mig de 11 cops.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BE20D3" w:rsidRPr="007573C7" w:rsidRDefault="00BE20D3" w:rsidP="00BE20D3">
      <w:pPr>
        <w:pStyle w:val="Heading3"/>
        <w:jc w:val="right"/>
        <w:rPr>
          <w:lang w:val="ca-ES"/>
        </w:rPr>
      </w:pPr>
      <w:bookmarkStart w:id="44" w:name="_Toc216857731"/>
      <w:r w:rsidRPr="007573C7">
        <w:rPr>
          <w:lang w:val="ca-ES"/>
        </w:rPr>
        <w:t xml:space="preserve">3.2.2. 2n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2 està format per roca fracturada, de coloracions marrons a vermelloses. Aquests materials presenten una composició silícia típica dels dipòsits del Vallès-Penedès, amb components procedents de l'erosió de les serralades adjacents. </w:t>
        <w:br/>
        <w:t xml:space="preserve"/>
        <w:br/>
        <w:t xml:space="preserve">Aquest nivell s'ha identificat com a materials eocè, unitat PEcg segons l'ICGC.</w:t>
        <w:br/>
        <w:t xml:space="preserve"/>
        <w:br/>
        <w:t xml:space="preserve">A partir dels assaigs realitzats, aquest nivell es detecta a partir de 0.50 m i fins a 1.20 m, amb un gruix de 0.70 m. Aquests materials presenten un valor mitjà de N20 de 43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7"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2n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2n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a partir de 0.50 m i fins a 1.20 m de profunditat, amb potències estudiades de 0.70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43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10^-2 a 10^-4</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Llims argilosos amb grava grossa</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2n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Roca fracturada</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0.50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1.6</w:t>
            </w:r>
            <w:r w:rsidR="00CE3D59" w:rsidRPr="006A230B">
              <w:rPr>
                <w:sz w:val="18"/>
                <w:szCs w:val="18"/>
              </w:rPr>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2</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0.70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detecten 2 nivells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llims argilosos amb grava grossa,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0.50 m, amb un gruix de 0.50 m. Aquests materials presenten un valor mitjà de N20 de 11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8" name="Picture 1"/>
            <wp:cNvGraphicFramePr>
              <a:graphicFrameLocks noChangeAspect="1"/>
            </wp:cNvGraphicFramePr>
            <a:graphic>
              <a:graphicData uri="http://schemas.openxmlformats.org/drawingml/2006/picture">
                <pic:pic>
                  <pic:nvPicPr>
                    <pic:cNvPr id="0" name="tall_tall.jpg"/>
                    <pic:cNvPicPr/>
                  </pic:nvPicPr>
                  <pic:blipFill>
                    <a:blip r:embed="rId29"/>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Llims argilosos amb grava grossa.</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7-19</w:t>
            </w:r>
          </w:p>
        </w:tc>
        <w:tc>
          <w:tcPr>
            <w:tcW w:w="720" w:type="dxa"/>
            <w:vAlign w:val="center"/>
          </w:tcPr>
          <w:p w:rsidR="00C636E0" w:rsidRPr="00B33352" w:rsidRDefault="009170EC" w:rsidP="00565297">
            <w:pPr>
              <w:jc w:val="center"/>
              <w:rPr>
                <w:sz w:val="18"/>
                <w:szCs w:val="18"/>
              </w:rPr>
            </w:pPr>
            <w:r w:rsidRPr="00B33352">
              <w:rPr>
                <w:sz w:val="18"/>
                <w:szCs w:val="18"/>
              </w:rPr>
              <w:t xml:space="preserve">11</w:t>
            </w:r>
          </w:p>
        </w:tc>
        <w:tc>
          <w:tcPr>
            <w:tcW w:w="1134" w:type="dxa"/>
            <w:vAlign w:val="center"/>
          </w:tcPr>
          <w:p w:rsidR="00C77253" w:rsidRPr="00B33352" w:rsidRDefault="00B33352" w:rsidP="00C77253">
            <w:pPr>
              <w:jc w:val="center"/>
              <w:rPr>
                <w:sz w:val="18"/>
                <w:szCs w:val="18"/>
              </w:rPr>
            </w:pPr>
            <w:r w:rsidRPr="00B33352">
              <w:rPr>
                <w:sz w:val="18"/>
                <w:szCs w:val="18"/>
              </w:rPr>
              <w:t xml:space="preserve">2.01</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30°</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109</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2n nivell. Roca fracturada.</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10-R</w:t>
            </w:r>
          </w:p>
        </w:tc>
        <w:tc>
          <w:tcPr>
            <w:tcW w:w="720" w:type="dxa"/>
            <w:vAlign w:val="center"/>
          </w:tcPr>
          <w:p w:rsidR="00C636E0" w:rsidRPr="00B33352" w:rsidRDefault="009170EC" w:rsidP="00565297">
            <w:pPr>
              <w:jc w:val="center"/>
              <w:rPr>
                <w:sz w:val="18"/>
                <w:szCs w:val="18"/>
              </w:rPr>
            </w:pPr>
            <w:r w:rsidRPr="00B33352">
              <w:rPr>
                <w:sz w:val="18"/>
                <w:szCs w:val="18"/>
              </w:rPr>
              <w:t xml:space="preserve">43</w:t>
            </w:r>
          </w:p>
        </w:tc>
        <w:tc>
          <w:tcPr>
            <w:tcW w:w="1134" w:type="dxa"/>
            <w:vAlign w:val="center"/>
          </w:tcPr>
          <w:p w:rsidR="00C77253" w:rsidRPr="00B33352" w:rsidRDefault="00B33352" w:rsidP="00C77253">
            <w:pPr>
              <w:jc w:val="center"/>
              <w:rPr>
                <w:sz w:val="18"/>
                <w:szCs w:val="18"/>
              </w:rPr>
            </w:pPr>
            <w:r w:rsidRPr="00B33352">
              <w:rPr>
                <w:sz w:val="18"/>
                <w:szCs w:val="18"/>
              </w:rPr>
              <w:t xml:space="preserve">2.20</w:t>
            </w:r>
          </w:p>
        </w:tc>
        <w:tc>
          <w:tcPr>
            <w:tcW w:w="1134" w:type="dxa"/>
            <w:vAlign w:val="center"/>
          </w:tcPr>
          <w:p w:rsidR="00C636E0" w:rsidRPr="00B33352" w:rsidRDefault="00B33352" w:rsidP="00EF7435">
            <w:pPr>
              <w:jc w:val="center"/>
              <w:rPr>
                <w:sz w:val="18"/>
                <w:szCs w:val="18"/>
              </w:rPr>
            </w:pPr>
            <w:r w:rsidRPr="00B33352">
              <w:rPr>
                <w:sz w:val="18"/>
                <w:szCs w:val="18"/>
              </w:rPr>
              <w:t xml:space="preserve">1.00</w:t>
            </w:r>
          </w:p>
        </w:tc>
        <w:tc>
          <w:tcPr>
            <w:tcW w:w="1134" w:type="dxa"/>
            <w:vAlign w:val="center"/>
          </w:tcPr>
          <w:p w:rsidR="00C636E0" w:rsidRPr="00B33352" w:rsidRDefault="00B33352" w:rsidP="00EF7435">
            <w:pPr>
              <w:jc w:val="center"/>
              <w:rPr>
                <w:sz w:val="18"/>
                <w:szCs w:val="18"/>
              </w:rPr>
            </w:pPr>
            <w:r w:rsidRPr="00B33352">
              <w:rPr>
                <w:sz w:val="18"/>
                <w:szCs w:val="18"/>
              </w:rPr>
              <w:t xml:space="preserve">35°</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500</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br/>
        <w:t xml:space="preserve"/>
        <w:br/>
        <w:t xml:space="preserve">Amb tot, donada la pendent de la zona, es recomana dimensionar una correcta xarxa de recollida d'aigües per a què no circuli lliurement damunt de la superfície del solar.</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No s'han realitzat assaigs de contingut en sulfats.</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8.3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0E60F8" w:rsidRPr="00306C3C" w:rsidRDefault="000E60F8" w:rsidP="00233428">
      <w:pPr>
        <w:pStyle w:val="Heading2"/>
        <w:rPr>
          <w:rFonts w:eastAsia="Dotum"/>
          <w:szCs w:val="20"/>
        </w:rPr>
      </w:pPr>
      <w:r>
        <w:t xml:space="preserve">4.4. EMPENTES DE TERRES</w:t>
      </w:r>
    </w:p>
    <w:p w:rsidR="000E60F8" w:rsidRPr="00306C3C" w:rsidRDefault="000E60F8" w:rsidP="00233428">
      <w:pPr>
        <w:rPr>
          <w:rFonts w:eastAsia="Dotum"/>
          <w:szCs w:val="20"/>
        </w:rPr>
      </w:pPr>
      <w:r>
        <w:t xml:space="preserve">Per al disseny dels murs de contenció, s'han calculat els coeficients d'empenta de Rankine:</w:t>
        <w:br/>
        <w:t xml:space="preserve"/>
        <w:br/>
        <w:t xml:space="preserve">- Coeficient d'empenta activa: Ka = 0.271</w:t>
        <w:br/>
        <w:t xml:space="preserve">- Coeficient d'empenta passiva: Kp = 3.690</w:t>
        <w:br/>
        <w:t xml:space="preserve"/>
        <w:br/>
        <w:t xml:space="preserve">Amb un angle de fricció interna de 35 i una densitat de 2.20 g/cm3.</w:t>
      </w:r>
    </w:p>
    <w:p w:rsidR="002A7710" w:rsidRPr="00306C3C" w:rsidRDefault="002A7710" w:rsidP="00233428">
      <w:pPr>
        <w:pStyle w:val="Heading2"/>
        <w:rPr>
          <w:rFonts w:eastAsia="Dotum"/>
          <w:szCs w:val="20"/>
        </w:rPr>
      </w:pPr>
      <w:r>
        <w:t xml:space="preserve">4.5. ESTABILITAT DE VESSANT</w:t>
      </w:r>
    </w:p>
    <w:p w:rsidR="000E60F8" w:rsidRPr="00306C3C" w:rsidRDefault="007B0AB3" w:rsidP="00233428">
      <w:pPr>
        <w:rPr>
          <w:rFonts w:eastAsia="Dotum"/>
          <w:szCs w:val="20"/>
        </w:rPr>
      </w:pPr>
      <w:r>
        <w:rPr>
          <w:rFonts w:eastAsia="Dotum"/>
          <w:szCs w:val="20"/>
        </w:rPr>
        <w:t xml:space="preserve">Per a la realitzacio de les recomanacions d'estabilitat de talussos s'han tingut en compte les seguents premisses:</w:t>
        <w:br/>
        <w:t xml:space="preserve"/>
        <w:br/>
        <w:t xml:space="preserve">- El solar presenta un pendent del 36% (20 graus) en direccio SE.</w:t>
        <w:br/>
        <w:t xml:space="preserve">- Talussos sense presencia de nivell freatic.</w:t>
        <w:br/>
        <w:t xml:space="preserve">- Factor de seguretat minim F=1.5 (CTE DB SE-C apartat 7.2.2.1, situacio persistent).</w:t>
        <w:br/>
        <w:t xml:space="preserve">- S'han considerat els parametres geomecanics del 2n nivell (Roca fracturada) (phi=35 graus, gamma=2.20 g/cm3, c=1.00 kg/cm2).</w:t>
        <w:br/>
        <w:t xml:space="preserve"/>
        <w:br/>
        <w:t xml:space="preserve">El metode de calcul utilitzat es el de ruptura circular (Hoek  Bray (1977), abac n1 (talus sec)), aplicable a talussos amb cohesio on la superficie de ruptura es de tipus circular.</w:t>
        <w:br/>
        <w:t xml:space="preserve"/>
        <w:br/>
        <w:t xml:space="preserve">Amb c=1.00 kg/cm2, H=4.0 m, beta=20 graus: FS &gt; 3.5</w:t>
        <w:br/>
        <w:t xml:space="preserve"/>
        <w:br/>
        <w:t xml:space="preserve">Els factors de seguretat obtinguts son superiors a 3.5, complint amb escreix les premisses del CTE (minim exigit F=1.5).</w:t>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