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RAMON MITJANA S.L.</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JORDI BOSCH NOVELL, de l'Arquitectura Bosch Novell, en nom de RAMON MITJANA S.L.,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Pb+1Pp</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995</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366</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Carrer Antoni Bellet i el Carrer Antoni Bellet de Bell-Lloc d'Urgell.</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[Imatge pendent]</w:t>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
      </w:r>
      <w:r>
        <w:drawing>
          <wp:inline xmlns:a="http://schemas.openxmlformats.org/drawingml/2006/main" xmlns:pic="http://schemas.openxmlformats.org/drawingml/2006/picture">
            <wp:extent cx="5400000" cy="3814898"/>
            <wp:docPr id="1001" name="Picture 1"/>
            <wp:cNvGraphicFramePr>
              <a:graphicFrameLocks noChangeAspect="1"/>
            </wp:cNvGraphicFramePr>
            <a:graphic>
              <a:graphicData uri="http://schemas.openxmlformats.org/drawingml/2006/picture">
                <pic:pic>
                  <pic:nvPicPr>
                    <pic:cNvPr id="0" name="planol_A.01.jpg"/>
                    <pic:cNvPicPr/>
                  </pic:nvPicPr>
                  <pic:blipFill>
                    <a:blip r:embed="rId24"/>
                    <a:stretch>
                      <a:fillRect/>
                    </a:stretch>
                  </pic:blipFill>
                  <pic:spPr>
                    <a:xfrm>
                      <a:off x="0" y="0"/>
                      <a:ext cx="5400000" cy="3814898"/>
                    </a:xfrm>
                    <a:prstGeom prst="rect"/>
                  </pic:spPr>
                </pic:pic>
              </a:graphicData>
            </a:graphic>
          </wp:inline>
        </w:drawing>
      </w:r>
      <w:r>
        <w:t xml:space="preserve"/>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1 i 6 d'octubre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Bell-Lloc</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amb una Parcel·la buida.</w:t>
      </w:r>
    </w:p>
    <w:p w:rsidR="009C46A9" w:rsidRPr="00AE169B" w:rsidRDefault="00CC459A" w:rsidP="009C46A9">
      <w:pPr>
        <w:numPr>
          <w:ilvl w:val="0"/>
          <w:numId w:val="20"/>
        </w:numPr>
        <w:rPr>
          <w:szCs w:val="20"/>
        </w:rPr>
      </w:pPr>
      <w:r>
        <w:rPr>
          <w:szCs w:val="20"/>
        </w:rPr>
        <w:t xml:space="preserve">Per la part sud amb el Carrer Antoni Bellet.</w:t>
      </w:r>
    </w:p>
    <w:p w:rsidR="009C46A9" w:rsidRPr="00AE169B" w:rsidRDefault="00E1171C" w:rsidP="002F49B5">
      <w:pPr>
        <w:numPr>
          <w:ilvl w:val="0"/>
          <w:numId w:val="20"/>
        </w:numPr>
        <w:rPr>
          <w:szCs w:val="20"/>
        </w:rPr>
      </w:pPr>
      <w:r>
        <w:rPr/>
        <w:t xml:space="preserve">Per la part est amb el Carrer Mestre Ramon Ortiz.</w:t>
      </w:r>
    </w:p>
    <w:p w:rsidR="009C46A9" w:rsidRPr="00AE169B" w:rsidRDefault="00E1171C" w:rsidP="002F49B5">
      <w:pPr>
        <w:numPr>
          <w:ilvl w:val="0"/>
          <w:numId w:val="20"/>
        </w:numPr>
        <w:rPr>
          <w:szCs w:val="20"/>
        </w:rPr>
      </w:pPr>
      <w:r>
        <w:rPr>
          <w:szCs w:val="20"/>
        </w:rPr>
        <w:t xml:space="preserve">I finalment, per la part oest amb una Parcel·la amb construcció aïllada de fins a dos plantes sobre rasant.</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Carrer existent al sud.</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Parcel·la delimitada per tanques de parcel·les veïnes, anivellada a la rasant del carrer, només uns 15 cm per sota, sense pavimentar, i amb vegetació de petita alçada</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[Imatge pendent]</w:t>
            </w:r>
          </w:p>
        </w:tc>
        <w:tc>
          <w:tcPr>
            <w:tcW w:type="dxa" w:w="4153"/>
          </w:tcPr>
          <w:p>
            <w:pPr>
              <w:jc w:val="center"/>
            </w:pPr>
            <w:r>
              <w:t xml:space="preserve">[Imatge pendent]</w:t>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1 i 6 d'octubre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2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sondeig a rotació amb bateria contínua i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
      </w:r>
      <w:r>
        <w:drawing>
          <wp:inline xmlns:a="http://schemas.openxmlformats.org/drawingml/2006/main" xmlns:pic="http://schemas.openxmlformats.org/drawingml/2006/picture">
            <wp:extent cx="4320000" cy="7680000"/>
            <wp:docPr id="1002" name="Picture 1"/>
            <wp:cNvGraphicFramePr>
              <a:graphicFrameLocks noChangeAspect="1"/>
            </wp:cNvGraphicFramePr>
            <a:graphic>
              <a:graphicData uri="http://schemas.openxmlformats.org/drawingml/2006/picture">
                <pic:pic>
                  <pic:nvPicPr>
                    <pic:cNvPr id="0" name="Imagen de WhatsApp 2025-10-01 a las 14.16.23_e62682b9.jpg"/>
                    <pic:cNvPicPr/>
                  </pic:nvPicPr>
                  <pic:blipFill>
                    <a:blip r:embed="rId25"/>
                    <a:stretch>
                      <a:fillRect/>
                    </a:stretch>
                  </pic:blipFill>
                  <pic:spPr>
                    <a:xfrm>
                      <a:off x="0" y="0"/>
                      <a:ext cx="4320000" cy="7680000"/>
                    </a:xfrm>
                    <a:prstGeom prst="rect"/>
                  </pic:spPr>
                </pic:pic>
              </a:graphicData>
            </a:graphic>
          </wp:inline>
        </w:drawing>
      </w:r>
      <w:r>
        <w:t xml:space="preserve"/>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
        <w:t xml:space="preserve"/>
      </w:r>
    </w:p>
    <w:p>
      <w:pPr>
        <w:pStyle w:val="Heading3"/>
      </w:pPr>
      <w:r>
        <w:t xml:space="preserve">2.4.2.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xml:space="preserve"/>
      </w:r>
      <w:r>
        <w:drawing>
          <wp:inline xmlns:a="http://schemas.openxmlformats.org/drawingml/2006/main" xmlns:pic="http://schemas.openxmlformats.org/drawingml/2006/picture">
            <wp:extent cx="4320000" cy="3085714"/>
            <wp:docPr id="1003" name="Picture 1"/>
            <wp:cNvGraphicFramePr>
              <a:graphicFrameLocks noChangeAspect="1"/>
            </wp:cNvGraphicFramePr>
            <a:graphic>
              <a:graphicData uri="http://schemas.openxmlformats.org/drawingml/2006/picture">
                <pic:pic>
                  <pic:nvPicPr>
                    <pic:cNvPr id="0" name="Imagen de WhatsApp 2025-10-01 a las 12.54.57_83d08c82.jpg"/>
                    <pic:cNvPicPr/>
                  </pic:nvPicPr>
                  <pic:blipFill>
                    <a:blip r:embed="rId26"/>
                    <a:stretch>
                      <a:fillRect/>
                    </a:stretch>
                  </pic:blipFill>
                  <pic:spPr>
                    <a:xfrm>
                      <a:off x="0" y="0"/>
                      <a:ext cx="4320000" cy="3085714"/>
                    </a:xfrm>
                    <a:prstGeom prst="rect"/>
                  </pic:spPr>
                </pic:pic>
              </a:graphicData>
            </a:graphic>
          </wp:inline>
        </w:drawing>
      </w:r>
      <w:r>
        <w:t xml:space="preserve"/>
      </w:r>
    </w:p>
    <w:p>
      <w:r>
        <w:t xml:space="preserve">Fotografia 3. Vista de la màquina utilitzada per a la realització del sondeig a rotació.</w:t>
      </w:r>
    </w:p>
    <w:p>
      <w:r>
        <w:t xml:space="preserve"/>
      </w:r>
    </w:p>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2.4.3.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4"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2.4.4.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+199.50</w:t>
            </w:r>
          </w:p>
        </w:tc>
        <w:tc>
          <w:tcPr>
            <w:tcW w:type="dxa" w:w="1417"/>
          </w:tcPr>
          <w:p>
            <w:r>
              <w:t xml:space="preserve">-1.40</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+199.50</w:t>
            </w:r>
          </w:p>
        </w:tc>
        <w:tc>
          <w:tcPr>
            <w:tcW w:type="dxa" w:w="1417"/>
          </w:tcPr>
          <w:p>
            <w:r>
              <w:t xml:space="preserve">-2.60</w:t>
            </w:r>
          </w:p>
        </w:tc>
        <w:tc>
          <w:tcPr>
            <w:tcW w:type="dxa" w:w="993"/>
          </w:tcPr>
          <w:p>
            <w:r>
              <w:t xml:space="preserve">Si</w:t>
            </w:r>
          </w:p>
        </w:tc>
        <w:tc>
          <w:tcPr>
            <w:tcW w:type="dxa" w:w="2822"/>
          </w:tcPr>
          <w:p>
            <w:r>
              <w:t xml:space="preserve">No detectat</w:t>
            </w:r>
          </w:p>
        </w:tc>
      </w:tr>
    </w:tbl>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tc>
          <w:tcPr>
            <w:tcW w:type="dxa" w:w="1756"/>
          </w:tcPr>
          <w:p>
            <w:r>
              <w:t xml:space="preserve">S-1</w:t>
            </w:r>
          </w:p>
        </w:tc>
        <w:tc>
          <w:tcPr>
            <w:tcW w:type="dxa" w:w="1409"/>
          </w:tcPr>
          <w:p>
            <w:r>
              <w:t xml:space="preserve">+199.50</w:t>
            </w:r>
          </w:p>
        </w:tc>
        <w:tc>
          <w:tcPr>
            <w:tcW w:type="dxa" w:w="1417"/>
          </w:tcPr>
          <w:p>
            <w:r>
              <w:t xml:space="preserve">-1.80</w:t>
            </w:r>
          </w:p>
        </w:tc>
        <w:tc>
          <w:tcPr>
            <w:tcW w:type="dxa" w:w="993"/>
          </w:tcPr>
          <w:p>
            <w:r>
              <w:t xml:space="preserve">No detectat</w:t>
            </w:r>
          </w:p>
        </w:tc>
        <w:tc>
          <w:tcPr>
            <w:tcW w:type="dxa" w:w="2822"/>
          </w:tcPr>
          <w:p>
            <w:r>
              <w:t xml:space="preserve">2 capes detectades</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SPT-1</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S-1</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-1.0 a -1.6</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xml:space="preserve">[PENDENT: Text de marc geològic regional]</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xml:space="preserve">No es disposa de coordenades UTM per consultar l'ICGC.</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Si us plau, introduïu manualment el text de marc geològic o verifiqueu les coordenades UTM del projecte.</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[Imatge pendent]</w:t>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2 nivells geotecnics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Llims argilosos amb graves cohesives de coloració marronosa</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2n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Graves incloses en matriu sorrenca d'aspectes carbonatats, i de coloracions clars. Tram totalment carbonatat.</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llims argilosos amb graves cohesives de coloració marronosa, de coloracions clars a marró clar. Aquests materials presenten característiques carbonatades típiques de la Depressió de l'Ebre. Superficialment es detecta un tram de sòl vegetal i/o materials antropitzats de petit gruix.</w:t>
        <w:br/>
        <w:t xml:space="preserve"/>
        <w:br/>
        <w:t xml:space="preserve">Aquest nivell s'ha identificat com a materials quaternaris, unitat Qx segons l'ICGC.</w:t>
        <w:br/>
        <w:t xml:space="preserve"/>
        <w:br/>
        <w:t xml:space="preserve">A partir dels assaigs realitzats, aquest nivell es detecta superficialment i fins a 1.00 m, amb un gruix de 1.00 m. Aquests materials presenten un valor mitjà de N20 de 19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[Imatge pendent]</w:t>
      </w:r>
    </w:p>
    <w:p w:rsidR="00BE20D3" w:rsidRPr="007573C7" w:rsidRDefault="00BE20D3" w:rsidP="00BE20D3">
      <w:pPr>
        <w:pStyle w:val="Caption"/>
        <w:jc w:val="center"/>
        <w:rPr>
          <w:rFonts w:cs="Tahoma"/>
          <w:b w:val="0"/>
          <w:szCs w:val="20"/>
        </w:rPr>
      </w:pPr>
      <w:r>
        <w:t xml:space="preserve">Fotografia 4.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1. Distribució granulomètrica dels materials del 1er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1.00 m de profunditat, amb potències estudiades de 1.00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mitja. Dels assaigs de penetració dinàmica DPSH s'obté un valor de Nb mig de 19 cops.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BE20D3" w:rsidRPr="007573C7" w:rsidRDefault="00BE20D3" w:rsidP="00BE20D3">
      <w:pPr>
        <w:pStyle w:val="Heading3"/>
        <w:jc w:val="right"/>
        <w:rPr>
          <w:lang w:val="ca-ES"/>
        </w:rPr>
      </w:pPr>
      <w:bookmarkStart w:id="44" w:name="_Toc216857731"/>
      <w:r w:rsidRPr="007573C7">
        <w:rPr>
          <w:lang w:val="ca-ES"/>
        </w:rPr>
        <w:t xml:space="preserve">3.2.2. 2n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2 està format per graves incloses en matriu sorrenca d'aspectes carbonatats, i de coloracions clars. tram totalment carbonatat., de coloracions clars a marró clar. Aquests materials presenten característiques carbonatades típiques de la Depressió de l'Ebre. </w:t>
        <w:br/>
        <w:t xml:space="preserve"/>
        <w:br/>
        <w:t xml:space="preserve">Aquest nivell s'ha identificat com a materials quaternaris, unitat Qx segons l'ICGC.</w:t>
        <w:br/>
        <w:t xml:space="preserve"/>
        <w:br/>
        <w:t xml:space="preserve">A partir dels assaigs realitzats, aquest nivell es detecta a partir de 1.00 m i fins a 1.80 m, amb un gruix de 0.80 m. Aquests materials presenten un valor mitjà de N20 de 34 cops.</w:t>
        <w:br/>
        <w:t xml:space="preserve"/>
        <w:br/>
        <w:t xml:space="preserve">Des del punt de vista geomecànic es tracta d'uns materials de caràcter generalment granulars, amb una densitat i una capacitat portant mitja a elevada. Dels assaigs de penetració dinàmica es dedueix una consistència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[Imatge pendent]</w:t>
      </w:r>
    </w:p>
    <w:p w:rsidR="00BE20D3" w:rsidRPr="007573C7" w:rsidRDefault="00BE20D3" w:rsidP="00BE20D3">
      <w:pPr>
        <w:pStyle w:val="Caption"/>
        <w:jc w:val="center"/>
        <w:rPr>
          <w:rFonts w:cs="Tahoma"/>
          <w:b w:val="0"/>
          <w:szCs w:val="20"/>
        </w:rPr>
      </w:pPr>
      <w:r>
        <w:t xml:space="preserve">Fotografia 4. Detall dels materials del 2n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1. Distribució granulomètrica dels materials del 2n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a partir de 1.00 m i fins a 1.80 m de profunditat, amb potències estudiades de 0.80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mitja a elevada. Dels assaigs de penetració dinàmica DPSH s'obté un valor de Nb mig de 34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10^-2 a 10^-4</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Llims argilosos amb graves cohesives de coloració marronosa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2n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10^-2 a 10^-4</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Graves incloses en matriu sorrenca d'aspectes carbonatats, i de coloracions clars. Tram totalment carbonatat.</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89.8</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en planta baixa,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Bell-Lloc</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 xml:space="preserve">AB  =0.04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1.00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1.6</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2</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0.80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Bell-Lloc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detecten 2 nivells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llims argilosos amb graves cohesives de coloració marronosa, de coloracions clars a marró clar. Aquests materials presenten característiques carbonatades típiques de la Depressió de l'Ebre. Superficialment es detecta un tram de sòl vegetal i/o materials antropitzats de petit gruix.</w:t>
        <w:br/>
        <w:t xml:space="preserve"/>
        <w:br/>
        <w:t xml:space="preserve">Aquest nivell s'ha identificat com a materials quaternaris, unitat Qx segons l'ICGC.</w:t>
        <w:br/>
        <w:t xml:space="preserve"/>
        <w:br/>
        <w:t xml:space="preserve">A partir dels assaigs realitzats, aquest nivell es detecta superficialment i fins a 1.00 m, amb un gruix de 1.00 m. Aquests materials presenten un valor mitjà de N20 de 19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5" name="Picture 1"/>
            <wp:cNvGraphicFramePr>
              <a:graphicFrameLocks noChangeAspect="1"/>
            </wp:cNvGraphicFramePr>
            <a:graphic>
              <a:graphicData uri="http://schemas.openxmlformats.org/drawingml/2006/picture">
                <pic:pic>
                  <pic:nvPicPr>
                    <pic:cNvPr id="0" name="tall_tall.jpg"/>
                    <pic:cNvPicPr/>
                  </pic:nvPicPr>
                  <pic:blipFill>
                    <a:blip r:embed="rId27"/>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Llims argilosos amb graves cohesives de coloració marronosa.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16-33</w:t>
            </w:r>
          </w:p>
        </w:tc>
        <w:tc>
          <w:tcPr>
            <w:tcW w:w="720" w:type="dxa"/>
            <w:vAlign w:val="center"/>
          </w:tcPr>
          <w:p w:rsidR="00C636E0" w:rsidRPr="00B33352" w:rsidRDefault="009170EC" w:rsidP="00565297">
            <w:pPr>
              <w:jc w:val="center"/>
              <w:rPr>
                <w:sz w:val="18"/>
                <w:szCs w:val="18"/>
              </w:rPr>
            </w:pPr>
            <w:r w:rsidRPr="00B33352">
              <w:rPr>
                <w:sz w:val="18"/>
                <w:szCs w:val="18"/>
              </w:rPr>
              <w:t xml:space="preserve">18</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33°</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114</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2n nivell. Graves incloses en matriu sorrenca d'aspectes carbonatats, i de coloracions clars. Tram totalment carbonatat..</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12-R</w:t>
            </w:r>
          </w:p>
        </w:tc>
        <w:tc>
          <w:tcPr>
            <w:tcW w:w="720" w:type="dxa"/>
            <w:vAlign w:val="center"/>
          </w:tcPr>
          <w:p w:rsidR="00C636E0" w:rsidRPr="00B33352" w:rsidRDefault="009170EC" w:rsidP="00565297">
            <w:pPr>
              <w:jc w:val="center"/>
              <w:rPr>
                <w:sz w:val="18"/>
                <w:szCs w:val="18"/>
              </w:rPr>
            </w:pPr>
            <w:r w:rsidRPr="00B33352">
              <w:rPr>
                <w:sz w:val="18"/>
                <w:szCs w:val="18"/>
              </w:rPr>
              <w:t xml:space="preserve">34</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37°</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469</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90 mg/kg. El terreny es classifica com a NO AGRESSIU al formigó segons la norma EHE-08.</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en planta baixa,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2.40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1.12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6.3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4001612</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27 de febrer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