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0.0 -->
  <w:body>
    <w:p>
      <w:pPr>
        <w:pStyle w:val="p"/>
        <w:spacing w:after="240"/>
        <w:rPr>
          <w:lang w:val="es" w:eastAsia="es"/>
        </w:rPr>
      </w:pPr>
      <w:r>
        <w:rPr>
          <w:rStyle w:val="b"/>
          <w:b/>
          <w:bCs/>
          <w:lang w:val="es" w:eastAsia="es"/>
        </w:rPr>
        <w:t>Registro Oficial No. 326 , 10 de Noviembre 2020</w:t>
      </w:r>
    </w:p>
    <w:p>
      <w:pPr>
        <w:pStyle w:val="p"/>
        <w:spacing w:before="240" w:after="240"/>
        <w:rPr>
          <w:lang w:val="es" w:eastAsia="es"/>
        </w:rPr>
      </w:pPr>
      <w:r>
        <w:rPr>
          <w:rStyle w:val="b"/>
          <w:b/>
          <w:bCs/>
          <w:lang w:val="es" w:eastAsia="es"/>
        </w:rPr>
        <w:t>Normativa:</w:t>
      </w:r>
      <w:r>
        <w:rPr>
          <w:lang w:val="es" w:eastAsia="es"/>
        </w:rPr>
        <w:t xml:space="preserve"> Vigente</w:t>
      </w:r>
    </w:p>
    <w:p>
      <w:pPr>
        <w:rPr>
          <w:rStyle w:val="b"/>
          <w:b/>
          <w:bCs/>
          <w:lang w:val="es" w:eastAsia="es"/>
        </w:rPr>
      </w:pPr>
      <w:r>
        <w:rPr>
          <w:rStyle w:val="b"/>
          <w:b/>
          <w:bCs/>
          <w:lang w:val="es" w:eastAsia="es"/>
        </w:rPr>
        <w:t>Última Reforma:</w:t>
      </w:r>
      <w:r>
        <w:rPr>
          <w:lang w:val="es" w:eastAsia="es"/>
        </w:rPr>
        <w:t> No reformado</w:t>
      </w:r>
    </w:p>
    <w:p>
      <w:pPr>
        <w:pStyle w:val="p"/>
        <w:spacing w:before="240" w:after="240"/>
        <w:rPr>
          <w:lang w:val="es" w:eastAsia="es"/>
        </w:rPr>
      </w:pPr>
    </w:p>
    <w:p>
      <w:pPr>
        <w:pStyle w:val="div"/>
        <w:jc w:val="center"/>
        <w:rPr>
          <w:rStyle w:val="font"/>
          <w:lang w:val="es" w:eastAsia="es"/>
        </w:rPr>
      </w:pPr>
    </w:p>
    <w:p>
      <w:pPr>
        <w:pStyle w:val="p"/>
        <w:spacing w:before="240" w:after="240"/>
        <w:rPr>
          <w:rStyle w:val="b"/>
          <w:b/>
          <w:bCs/>
          <w:lang w:val="es" w:eastAsia="es"/>
        </w:rPr>
      </w:pPr>
      <w:r>
        <w:rPr>
          <w:rStyle w:val="b"/>
          <w:b/>
          <w:bCs/>
          <w:lang w:val="es" w:eastAsia="es"/>
        </w:rPr>
        <w:t>ORDENANZA PARA LA REGULARIZACIÓN DE BIENES MOSTRENCOS DEL CANTÓN AMBATO</w:t>
      </w:r>
    </w:p>
    <w:p>
      <w:pPr>
        <w:pStyle w:val="div"/>
        <w:pBdr>
          <w:top w:val="none" w:sz="0" w:space="5" w:color="auto"/>
          <w:left w:val="none" w:sz="0" w:space="0" w:color="auto"/>
          <w:bottom w:val="none" w:sz="0" w:space="2" w:color="auto"/>
          <w:right w:val="none" w:sz="0" w:space="0" w:color="auto"/>
        </w:pBdr>
        <w:jc w:val="center"/>
        <w:rPr>
          <w:rStyle w:val="font"/>
          <w:lang w:val="es" w:eastAsia="es"/>
        </w:rPr>
      </w:pPr>
      <w:r>
        <w:rPr>
          <w:rStyle w:val="font"/>
          <w:lang w:val="es" w:eastAsia="es"/>
        </w:rPr>
        <w:t>(Ordenanza s/n)</w:t>
      </w:r>
    </w:p>
    <w:p>
      <w:pPr>
        <w:pStyle w:val="p"/>
        <w:spacing w:before="240" w:after="240"/>
        <w:rPr>
          <w:rStyle w:val="font"/>
          <w:lang w:val="es" w:eastAsia="es"/>
        </w:rPr>
      </w:pPr>
      <w:r>
        <w:rPr>
          <w:rStyle w:val="font"/>
          <w:lang w:val="es" w:eastAsia="es"/>
        </w:rPr>
        <w:br/>
      </w:r>
      <w:r>
        <w:rPr>
          <w:rStyle w:val="font"/>
          <w:lang w:val="es" w:eastAsia="es"/>
        </w:rPr>
        <w:t>EL CONCEJO MUNICIPAL DE AMBATO</w:t>
      </w:r>
    </w:p>
    <w:p>
      <w:pPr>
        <w:pStyle w:val="p"/>
        <w:spacing w:before="240" w:after="240"/>
        <w:rPr>
          <w:rStyle w:val="font"/>
          <w:lang w:val="es" w:eastAsia="es"/>
        </w:rPr>
      </w:pPr>
    </w:p>
    <w:p>
      <w:pPr>
        <w:pStyle w:val="p"/>
        <w:spacing w:before="240" w:after="240"/>
        <w:rPr>
          <w:rStyle w:val="b"/>
          <w:b/>
          <w:bCs/>
          <w:lang w:val="es" w:eastAsia="es"/>
        </w:rPr>
      </w:pPr>
      <w:r>
        <w:rPr>
          <w:rStyle w:val="b"/>
          <w:b/>
          <w:bCs/>
          <w:lang w:val="es" w:eastAsia="es"/>
        </w:rPr>
        <w:t>CONSIDERANDO:</w:t>
      </w:r>
    </w:p>
    <w:p>
      <w:pPr>
        <w:pStyle w:val="p"/>
        <w:spacing w:before="240" w:after="240"/>
        <w:rPr>
          <w:rStyle w:val="font"/>
          <w:lang w:val="es" w:eastAsia="es"/>
        </w:rPr>
      </w:pPr>
      <w:r>
        <w:rPr>
          <w:rStyle w:val="font"/>
          <w:lang w:val="es" w:eastAsia="es"/>
        </w:rPr>
        <w:br/>
      </w:r>
      <w:r>
        <w:rPr>
          <w:rStyle w:val="font"/>
          <w:lang w:val="es" w:eastAsia="es"/>
        </w:rPr>
        <w:t>Que el artículo 30 de la Constitución de la República del Ecuador dispone: “Las personas tienen derecho a un hábitat seguro y saludable, y a una vivienda adecuada y digna, con independencia de su situación social y económica.”;</w:t>
      </w:r>
    </w:p>
    <w:p>
      <w:pPr>
        <w:pStyle w:val="p"/>
        <w:spacing w:before="240" w:after="240"/>
        <w:rPr>
          <w:rStyle w:val="font"/>
          <w:lang w:val="es" w:eastAsia="es"/>
        </w:rPr>
      </w:pPr>
      <w:r>
        <w:rPr>
          <w:rStyle w:val="font"/>
          <w:lang w:val="es" w:eastAsia="es"/>
        </w:rPr>
        <w:br/>
      </w:r>
      <w:r>
        <w:rPr>
          <w:rStyle w:val="font"/>
          <w:lang w:val="es" w:eastAsia="es"/>
        </w:rPr>
        <w:t>Que el artículo 66, numeral 26 de la Constitución de la República del Ecuador reconoce y garantiza a las personas: “El derecho a la propiedad en todas sus formas con función y responsabilidad social y ambiental. El derecho al acceso a la propiedad se hará efectivo con la adopción de políticas públicas, entre otras medidas”;</w:t>
      </w:r>
    </w:p>
    <w:p>
      <w:pPr>
        <w:pStyle w:val="p"/>
        <w:spacing w:before="240" w:after="240"/>
        <w:rPr>
          <w:rStyle w:val="font"/>
          <w:lang w:val="es" w:eastAsia="es"/>
        </w:rPr>
      </w:pPr>
      <w:r>
        <w:rPr>
          <w:rStyle w:val="font"/>
          <w:lang w:val="es" w:eastAsia="es"/>
        </w:rPr>
        <w:br/>
      </w:r>
      <w:r>
        <w:rPr>
          <w:rStyle w:val="font"/>
          <w:lang w:val="es" w:eastAsia="es"/>
        </w:rPr>
        <w:t>Que el artículo 84 de la Constitución de la República del Ecuador determina que: “La Asamblea Nacional y todo órgano con potestad normativa tendrá la obligación de adecuar, formal y materialmente, las leyes y más normas jurídicas a los derechos previstos en la Constitución y los tratados internacionales, y los que sean necesarios para garantizar la dignidad del ser humano o de las comunidades, pueblos y nacionalidades. En ningún caso, la reforma de la Constitución, las leyes, otras normas jurídicas ni los actos del poder público atentarán contra los derechos que reconoce la Constitución.”;</w:t>
      </w:r>
    </w:p>
    <w:p>
      <w:pPr>
        <w:pStyle w:val="p"/>
        <w:spacing w:before="240" w:after="240"/>
        <w:rPr>
          <w:rStyle w:val="font"/>
          <w:lang w:val="es" w:eastAsia="es"/>
        </w:rPr>
      </w:pPr>
      <w:r>
        <w:rPr>
          <w:rStyle w:val="font"/>
          <w:lang w:val="es" w:eastAsia="es"/>
        </w:rPr>
        <w:br/>
      </w:r>
      <w:r>
        <w:rPr>
          <w:rStyle w:val="font"/>
          <w:lang w:val="es" w:eastAsia="es"/>
        </w:rPr>
        <w:t>Que el artículo 238 de la Constitución de la República del Ecuador reconoce que: “Los gobiernos autónomos descentralizados gozarán de autonomía política, administrativa y financiera, y se regirán por los principios de solidaridad, subsidiariedad, equidad interterritorial, integración y participación ciudadana. En ningún caso el ejercicio de la autonomía permitirá la secesión del territorio nacional.”;</w:t>
      </w:r>
    </w:p>
    <w:p>
      <w:pPr>
        <w:pStyle w:val="p"/>
        <w:spacing w:before="240" w:after="240"/>
        <w:rPr>
          <w:rStyle w:val="font"/>
          <w:lang w:val="es" w:eastAsia="es"/>
        </w:rPr>
      </w:pPr>
      <w:r>
        <w:rPr>
          <w:rStyle w:val="font"/>
          <w:lang w:val="es" w:eastAsia="es"/>
        </w:rPr>
        <w:br/>
      </w:r>
      <w:r>
        <w:rPr>
          <w:rStyle w:val="font"/>
          <w:lang w:val="es" w:eastAsia="es"/>
        </w:rPr>
        <w:t>Que el artículo 240 de la Constitución de la República del Ecuador, reconoce que los gobiernos autónomos descentralizados cantonales tendrán facultades legislativas en el ámbito de sus competencias y jurisdicciones territoriales;</w:t>
      </w:r>
    </w:p>
    <w:p>
      <w:pPr>
        <w:pStyle w:val="p"/>
        <w:spacing w:before="240" w:after="240"/>
        <w:rPr>
          <w:rStyle w:val="font"/>
          <w:lang w:val="es" w:eastAsia="es"/>
        </w:rPr>
      </w:pPr>
      <w:r>
        <w:rPr>
          <w:rStyle w:val="font"/>
          <w:lang w:val="es" w:eastAsia="es"/>
        </w:rPr>
        <w:br/>
      </w:r>
      <w:r>
        <w:rPr>
          <w:rStyle w:val="font"/>
          <w:lang w:val="es" w:eastAsia="es"/>
        </w:rPr>
        <w:t>Que el artículo 264 de la Constitución de la República del Ecuador establece como competencias exclusivas de los Gobiernos Municipales, entre otras las siguientes: 2. Ejercer el control sobre el uso y ocupación del suelo en el cantón;</w:t>
      </w:r>
    </w:p>
    <w:p>
      <w:pPr>
        <w:pStyle w:val="p"/>
        <w:spacing w:before="240" w:after="240"/>
        <w:rPr>
          <w:rStyle w:val="font"/>
          <w:lang w:val="es" w:eastAsia="es"/>
        </w:rPr>
      </w:pPr>
      <w:r>
        <w:rPr>
          <w:rStyle w:val="font"/>
          <w:lang w:val="es" w:eastAsia="es"/>
        </w:rPr>
        <w:br/>
      </w:r>
      <w:r>
        <w:rPr>
          <w:rStyle w:val="font"/>
          <w:lang w:val="es" w:eastAsia="es"/>
        </w:rPr>
        <w:t>Que el artículo 264 de la Constitución de la República del Ecuador, en su inciso final, establece que: “En el ámbito de sus competencias y territorio, y en uso de sus facultades, expedirán ordenanzas cantonales.”;</w:t>
      </w:r>
    </w:p>
    <w:p>
      <w:pPr>
        <w:pStyle w:val="p"/>
        <w:spacing w:before="240" w:after="240"/>
        <w:rPr>
          <w:rStyle w:val="font"/>
          <w:lang w:val="es" w:eastAsia="es"/>
        </w:rPr>
      </w:pPr>
      <w:r>
        <w:rPr>
          <w:rStyle w:val="font"/>
          <w:lang w:val="es" w:eastAsia="es"/>
        </w:rPr>
        <w:br/>
      </w:r>
      <w:r>
        <w:rPr>
          <w:rStyle w:val="font"/>
          <w:lang w:val="es" w:eastAsia="es"/>
        </w:rPr>
        <w:t>Que el artículo 275 de la Constitución de la República del Ecuador en su inciso primero establece: “El régimen de desarrollo es el conjunto organizado, sostenible y dinámico de los sistemas económicos, políticos, socioculturales y ambientales, que garantizan la realización del buen vivir, Sumak Kawsay.";</w:t>
      </w:r>
    </w:p>
    <w:p>
      <w:pPr>
        <w:pStyle w:val="p"/>
        <w:spacing w:before="240" w:after="240"/>
        <w:rPr>
          <w:rStyle w:val="font"/>
          <w:lang w:val="es" w:eastAsia="es"/>
        </w:rPr>
      </w:pPr>
      <w:r>
        <w:rPr>
          <w:rStyle w:val="font"/>
          <w:lang w:val="es" w:eastAsia="es"/>
        </w:rPr>
        <w:br/>
      </w:r>
      <w:r>
        <w:rPr>
          <w:rStyle w:val="font"/>
          <w:lang w:val="es" w:eastAsia="es"/>
        </w:rPr>
        <w:t>• Que el artículo 283 de la Constitución de la República del Ecuador en su inciso primero establece que: "El sistema económico social y solidario; reconoce al ser humano como sujeto y fin; propende a una relación dinámica y equilibrada entre sociedad, Estado y mercado, en armonía con la naturaleza, y tiene por objeto garantizar la producción y reproducción de las condiciones materiales e inmateriales que posibiliten el buen vivir.";</w:t>
      </w:r>
    </w:p>
    <w:p>
      <w:pPr>
        <w:pStyle w:val="p"/>
        <w:spacing w:before="240" w:after="240"/>
        <w:rPr>
          <w:rStyle w:val="font"/>
          <w:lang w:val="es" w:eastAsia="es"/>
        </w:rPr>
      </w:pPr>
      <w:r>
        <w:rPr>
          <w:rStyle w:val="font"/>
          <w:lang w:val="es" w:eastAsia="es"/>
        </w:rPr>
        <w:br/>
      </w:r>
      <w:r>
        <w:rPr>
          <w:rStyle w:val="font"/>
          <w:lang w:val="es" w:eastAsia="es"/>
        </w:rPr>
        <w:t>• Que el artículo 321 de la Constitución de la República del Ecuador determina que: "El Estado reconoce y garantiza el derecho a la propiedad en sus formas pública, privada, comunitaria, estatal, asociativa, cooperativa, mixta, y que deberá cumplir su función social y ambiental.";</w:t>
      </w:r>
    </w:p>
    <w:p>
      <w:pPr>
        <w:pStyle w:val="p"/>
        <w:spacing w:before="240" w:after="240"/>
        <w:rPr>
          <w:rStyle w:val="font"/>
          <w:lang w:val="es" w:eastAsia="es"/>
        </w:rPr>
      </w:pPr>
      <w:r>
        <w:rPr>
          <w:rStyle w:val="font"/>
          <w:lang w:val="es" w:eastAsia="es"/>
        </w:rPr>
        <w:br/>
      </w:r>
      <w:r>
        <w:rPr>
          <w:rStyle w:val="font"/>
          <w:lang w:val="es" w:eastAsia="es"/>
        </w:rPr>
        <w:t>• Que el artículo 4 literal f) del código Orgánico de Organización Territorial, Autonomía y Descentralización en adelante COOTAD, dispone que, entre los fines de los Gobiernos Autónomos descentralizados, esta: "La obtención de un hábitat seguro y saludable para los ciudadanos y la garantía de su derecho a la vivienda en el ámbito de sus respectivas competencias;";</w:t>
      </w:r>
    </w:p>
    <w:p>
      <w:pPr>
        <w:pStyle w:val="p"/>
        <w:spacing w:before="240" w:after="240"/>
        <w:rPr>
          <w:rStyle w:val="font"/>
          <w:lang w:val="es" w:eastAsia="es"/>
        </w:rPr>
      </w:pPr>
      <w:r>
        <w:rPr>
          <w:rStyle w:val="font"/>
          <w:lang w:val="es" w:eastAsia="es"/>
        </w:rPr>
        <w:br/>
      </w:r>
      <w:r>
        <w:rPr>
          <w:rStyle w:val="font"/>
          <w:lang w:val="es" w:eastAsia="es"/>
        </w:rPr>
        <w:t>• Que el artículo 53 del COOTAD determina que: "Los gobiernos autónomos descentralizados municipales son personas jurídicas de derecho público, con autonomía política, administrativa y financiera. Estarán integrados por las funciones de participación ciudadana; legislación y fiscalización; y, ejecutiva previstas en este Código, para el ejercicio de las funciones y competencias que le corresponden.";</w:t>
      </w:r>
    </w:p>
    <w:p>
      <w:pPr>
        <w:pStyle w:val="p"/>
        <w:spacing w:before="240" w:after="240"/>
        <w:rPr>
          <w:rStyle w:val="font"/>
          <w:lang w:val="es" w:eastAsia="es"/>
        </w:rPr>
      </w:pPr>
      <w:r>
        <w:rPr>
          <w:rStyle w:val="font"/>
          <w:lang w:val="es" w:eastAsia="es"/>
        </w:rPr>
        <w:br/>
      </w:r>
      <w:r>
        <w:rPr>
          <w:rStyle w:val="font"/>
          <w:lang w:val="es" w:eastAsia="es"/>
        </w:rPr>
        <w:t>• Que el artículo 54 del COOTAD en sus literales a) y c) establece que son funciones del gobierno autónomo descentralizado municipal entre otras, las siguientes: a) Promover el desarrollo sustentable de su circunscripción territorial cantonal, para garantizar la realización del buen vivir a través de la implementación de políticas públicas cantonales, en el marco de sus competencias constitucionales y legales"; y, "c) Establecer el régimen de uso del suelo y urbanístico, para lo cual determinará las condiciones de urbanización, parcelación, lotización, división o cualquier otra forma de fraccionamiento de conformidad con la planificación cantonal, asegurando porcentajes para zonas verdes y áreas comunales";</w:t>
      </w:r>
    </w:p>
    <w:p>
      <w:pPr>
        <w:pStyle w:val="p"/>
        <w:spacing w:before="240" w:after="240"/>
        <w:rPr>
          <w:rStyle w:val="font"/>
          <w:lang w:val="es" w:eastAsia="es"/>
        </w:rPr>
      </w:pPr>
      <w:r>
        <w:rPr>
          <w:rStyle w:val="font"/>
          <w:lang w:val="es" w:eastAsia="es"/>
        </w:rPr>
        <w:br/>
      </w:r>
      <w:r>
        <w:rPr>
          <w:rStyle w:val="font"/>
          <w:lang w:val="es" w:eastAsia="es"/>
        </w:rPr>
        <w:t>• Que el artículo 55 del COOTAD ordena que: "Los gobiernos autónomos descentralizados municipales tendrán las siguientes competencias exclusivas sin perjuicio de otras que determine la ley: b) Ejercer el control sobre el uso y ocupación del suelo en el cantón";</w:t>
      </w:r>
    </w:p>
    <w:p>
      <w:pPr>
        <w:pStyle w:val="p"/>
        <w:spacing w:before="240" w:after="240"/>
        <w:rPr>
          <w:rStyle w:val="font"/>
          <w:lang w:val="es" w:eastAsia="es"/>
        </w:rPr>
      </w:pPr>
      <w:r>
        <w:rPr>
          <w:rStyle w:val="font"/>
          <w:lang w:val="es" w:eastAsia="es"/>
        </w:rPr>
        <w:br/>
      </w:r>
      <w:r>
        <w:rPr>
          <w:rStyle w:val="font"/>
          <w:lang w:val="es" w:eastAsia="es"/>
        </w:rPr>
        <w:t>• Que el artículo 414 del COOTAD establece que: "...Constituyen patrimonio de los gobiernos autónomos descentralizados los bienes muebles e inmuebles que se determinen en la ley de creación, los que adquieran en el futuro a cualquier título, las herencias, legados y donaciones realizadas a su favor, así como, los recursos que provengan de los ingresos propios y de las asignaciones del presupuesto general del Estado.";</w:t>
      </w:r>
    </w:p>
    <w:p>
      <w:pPr>
        <w:pStyle w:val="p"/>
        <w:spacing w:before="240" w:after="240"/>
        <w:rPr>
          <w:rStyle w:val="font"/>
          <w:lang w:val="es" w:eastAsia="es"/>
        </w:rPr>
      </w:pPr>
      <w:r>
        <w:rPr>
          <w:rStyle w:val="font"/>
          <w:lang w:val="es" w:eastAsia="es"/>
        </w:rPr>
        <w:br/>
      </w:r>
      <w:r>
        <w:rPr>
          <w:rStyle w:val="font"/>
          <w:lang w:val="es" w:eastAsia="es"/>
        </w:rPr>
        <w:t>• Que el artículo 415 del COOTAD dispone: "Clases de bienes. Son bienes de los gobiernos autónomos descentralizados aquellos sobre los cuales ejercen dominio.- Los bienes se dividen en bienes del dominio privado y bienes del dominio público. Estos últimos se subdividen, a su vez, en bienes de uso público y bienes afectados al servicio público.";</w:t>
      </w:r>
    </w:p>
    <w:p>
      <w:pPr>
        <w:pStyle w:val="p"/>
        <w:spacing w:before="240" w:after="240"/>
        <w:rPr>
          <w:rStyle w:val="font"/>
          <w:lang w:val="es" w:eastAsia="es"/>
        </w:rPr>
      </w:pPr>
      <w:r>
        <w:rPr>
          <w:rStyle w:val="font"/>
          <w:lang w:val="es" w:eastAsia="es"/>
        </w:rPr>
        <w:br/>
      </w:r>
      <w:r>
        <w:rPr>
          <w:rStyle w:val="font"/>
          <w:lang w:val="es" w:eastAsia="es"/>
        </w:rPr>
        <w:t>• Que el artículo 419 del COOTAD dispone que constituyen bienes de dominio privado: (...) "c) Los bienes mostrencos situados dentro de las respectivas circunscripciones territoriales";</w:t>
      </w:r>
    </w:p>
    <w:p>
      <w:pPr>
        <w:pStyle w:val="p"/>
        <w:spacing w:before="240" w:after="240"/>
        <w:rPr>
          <w:rStyle w:val="font"/>
          <w:lang w:val="es" w:eastAsia="es"/>
        </w:rPr>
      </w:pPr>
      <w:r>
        <w:rPr>
          <w:rStyle w:val="font"/>
          <w:lang w:val="es" w:eastAsia="es"/>
        </w:rPr>
        <w:br/>
      </w:r>
      <w:r>
        <w:rPr>
          <w:rStyle w:val="font"/>
          <w:lang w:val="es" w:eastAsia="es"/>
        </w:rPr>
        <w:t>• Que el artículo 422 del COOTAD, establece, que en caso de conflicto de dominio entre los gobiernos autónomos descentralizados y la entidad estatal que tenga a su cargo la administración y adjudicación de bienes mostrencos, prevalecerá la posesión de los gobiernos autónomos descentralizados. De presentarse controversia, será resuelto por el juez de lo contencioso administrativo de la jurisdicción en la que se encuentre localizado el bien;</w:t>
      </w:r>
    </w:p>
    <w:p>
      <w:pPr>
        <w:pStyle w:val="p"/>
        <w:spacing w:before="240" w:after="240"/>
        <w:rPr>
          <w:rStyle w:val="font"/>
          <w:lang w:val="es" w:eastAsia="es"/>
        </w:rPr>
      </w:pPr>
      <w:r>
        <w:rPr>
          <w:rStyle w:val="font"/>
          <w:lang w:val="es" w:eastAsia="es"/>
        </w:rPr>
        <w:br/>
      </w:r>
      <w:r>
        <w:rPr>
          <w:rStyle w:val="font"/>
          <w:lang w:val="es" w:eastAsia="es"/>
        </w:rPr>
        <w:t>• Que el artículo 423 del COOTAD, indica que los bienes de cualquiera de las categorías establecidas en este código pueden pasar a otra de las mismas, previa resolución del órgano de legislación del gobierno autónomo descentralizado con el voto favorable de las dos terceras partes de sus miembros;</w:t>
      </w:r>
    </w:p>
    <w:p>
      <w:pPr>
        <w:pStyle w:val="p"/>
        <w:spacing w:before="240" w:after="240"/>
        <w:rPr>
          <w:rStyle w:val="font"/>
          <w:lang w:val="es" w:eastAsia="es"/>
        </w:rPr>
      </w:pPr>
      <w:r>
        <w:rPr>
          <w:rStyle w:val="font"/>
          <w:lang w:val="es" w:eastAsia="es"/>
        </w:rPr>
        <w:br/>
      </w:r>
      <w:r>
        <w:rPr>
          <w:rStyle w:val="font"/>
          <w:lang w:val="es" w:eastAsia="es"/>
        </w:rPr>
        <w:t>• Que el artículo 426, del COOTAD establece que: "Cada gobierno autónomo descentralizado llevará un inventario actualizado de todos los bienes valorizados del dominio privado y de los afectados al servicio público que sean susceptibles de valoración. Los catastros de estos bienes se actualizarán anualmente.";</w:t>
      </w:r>
    </w:p>
    <w:p>
      <w:pPr>
        <w:pStyle w:val="p"/>
        <w:spacing w:before="240" w:after="240"/>
        <w:rPr>
          <w:rStyle w:val="font"/>
          <w:lang w:val="es" w:eastAsia="es"/>
        </w:rPr>
      </w:pPr>
      <w:r>
        <w:rPr>
          <w:rStyle w:val="font"/>
          <w:lang w:val="es" w:eastAsia="es"/>
        </w:rPr>
        <w:br/>
      </w:r>
      <w:r>
        <w:rPr>
          <w:rStyle w:val="font"/>
          <w:lang w:val="es" w:eastAsia="es"/>
        </w:rPr>
        <w:t>• Que el inciso quinto, del artículo 481 del COOTAD, indica que se entienden como bienes mostrencos aquellos bienes que carecen de dueño conocido; en este caso los gobiernos autónomos descentralizados municipales o metropolitanos mediante ordenanza establecerán los mecanismos y procedimientos para regularizar bienes mostrencos;</w:t>
      </w:r>
    </w:p>
    <w:p>
      <w:pPr>
        <w:pStyle w:val="p"/>
        <w:spacing w:before="240" w:after="240"/>
        <w:rPr>
          <w:rStyle w:val="font"/>
          <w:lang w:val="es" w:eastAsia="es"/>
        </w:rPr>
      </w:pPr>
      <w:r>
        <w:rPr>
          <w:rStyle w:val="font"/>
          <w:lang w:val="es" w:eastAsia="es"/>
        </w:rPr>
        <w:br/>
      </w:r>
      <w:r>
        <w:rPr>
          <w:rStyle w:val="font"/>
          <w:lang w:val="es" w:eastAsia="es"/>
        </w:rPr>
        <w:t>• Que el artículo 599 del Código Civil, señala que: "El dominio o propiedad, es un derecho real en una cosa corporal, para gozar y disponer de ella, conforme a las disposiciones de las leyes y respetando el derecho ajeno, sea individual o social.";</w:t>
      </w:r>
    </w:p>
    <w:p>
      <w:pPr>
        <w:pStyle w:val="p"/>
        <w:spacing w:before="240" w:after="240"/>
        <w:rPr>
          <w:rStyle w:val="font"/>
          <w:lang w:val="es" w:eastAsia="es"/>
        </w:rPr>
      </w:pPr>
      <w:r>
        <w:rPr>
          <w:rStyle w:val="font"/>
          <w:lang w:val="es" w:eastAsia="es"/>
        </w:rPr>
        <w:br/>
      </w:r>
      <w:r>
        <w:rPr>
          <w:rStyle w:val="font"/>
          <w:lang w:val="es" w:eastAsia="es"/>
        </w:rPr>
        <w:t>• Que el artículo 604 del Código Civil, determina que: "Se llaman bienes nacionales aquellos cuyo dominio pertenece a la Nación toda.";</w:t>
      </w:r>
    </w:p>
    <w:p>
      <w:pPr>
        <w:pStyle w:val="p"/>
        <w:spacing w:before="240" w:after="240"/>
        <w:rPr>
          <w:rStyle w:val="font"/>
          <w:lang w:val="es" w:eastAsia="es"/>
        </w:rPr>
      </w:pPr>
      <w:r>
        <w:rPr>
          <w:rStyle w:val="font"/>
          <w:lang w:val="es" w:eastAsia="es"/>
        </w:rPr>
        <w:br/>
      </w:r>
      <w:r>
        <w:rPr>
          <w:rStyle w:val="font"/>
          <w:lang w:val="es" w:eastAsia="es"/>
        </w:rPr>
        <w:t>• Que el artículo 605 del Código Civil, señala que: "Son bienes del Estado todas las tierras que, estando situadas dentro de los límites territoriales, carecen de otro dueño.";</w:t>
      </w:r>
    </w:p>
    <w:p>
      <w:pPr>
        <w:pStyle w:val="p"/>
        <w:spacing w:before="240" w:after="240"/>
        <w:rPr>
          <w:rStyle w:val="font"/>
          <w:lang w:val="es" w:eastAsia="es"/>
        </w:rPr>
      </w:pPr>
      <w:r>
        <w:rPr>
          <w:rStyle w:val="font"/>
          <w:lang w:val="es" w:eastAsia="es"/>
        </w:rPr>
        <w:br/>
      </w:r>
      <w:r>
        <w:rPr>
          <w:rStyle w:val="font"/>
          <w:lang w:val="es" w:eastAsia="es"/>
        </w:rPr>
        <w:t>• Que el artículo 715 del Código Civil, determina que: "Posesión es la tenencia de una cosa determinada con ánimo de señor o dueño; que el dueño o el que se da por tal tenga la cosa por sí misma, o bien por otra persona en su lugar y a su nombre. El poseedor es reputado dueño, mientras otra persona no justifica serlo.";</w:t>
      </w:r>
    </w:p>
    <w:p>
      <w:pPr>
        <w:pStyle w:val="p"/>
        <w:spacing w:before="240" w:after="240"/>
        <w:rPr>
          <w:rStyle w:val="font"/>
          <w:lang w:val="es" w:eastAsia="es"/>
        </w:rPr>
      </w:pPr>
      <w:r>
        <w:rPr>
          <w:rStyle w:val="font"/>
          <w:lang w:val="es" w:eastAsia="es"/>
        </w:rPr>
        <w:br/>
      </w:r>
      <w:r>
        <w:rPr>
          <w:rStyle w:val="font"/>
          <w:lang w:val="es" w:eastAsia="es"/>
        </w:rPr>
        <w:t>• Que el artículo 1 de la Ley de Registro de la Propiedad, prescribe que la inscripción de los instrumentos públicos, títulos, etc., sirve de medio de tradición de bienes raíces, si el bien inmueble no consta inscrito en el Registro de la Propiedad a nombre de una persona natural o jurídica determinada, carece de dueño o propietario, nos encontramos frente a un bien mostrenco;</w:t>
      </w:r>
    </w:p>
    <w:p>
      <w:pPr>
        <w:pStyle w:val="p"/>
        <w:spacing w:before="240" w:after="240"/>
        <w:rPr>
          <w:rStyle w:val="font"/>
          <w:lang w:val="es" w:eastAsia="es"/>
        </w:rPr>
      </w:pPr>
      <w:r>
        <w:rPr>
          <w:rStyle w:val="font"/>
          <w:lang w:val="es" w:eastAsia="es"/>
        </w:rPr>
        <w:br/>
      </w:r>
      <w:r>
        <w:rPr>
          <w:rStyle w:val="font"/>
          <w:lang w:val="es" w:eastAsia="es"/>
        </w:rPr>
        <w:t>En uso de las atribuciones contempladas en el artículo 57 literal a) que guarda concordancia con el artículo 322 del Código Orgánico de Organización Territorial, Autonomía y Descentralización.</w:t>
      </w:r>
    </w:p>
    <w:p>
      <w:pPr>
        <w:pStyle w:val="p"/>
        <w:spacing w:before="240" w:after="240"/>
        <w:rPr>
          <w:rStyle w:val="font"/>
          <w:lang w:val="es" w:eastAsia="es"/>
        </w:rPr>
      </w:pPr>
      <w:r>
        <w:rPr>
          <w:rStyle w:val="font"/>
          <w:lang w:val="es" w:eastAsia="es"/>
        </w:rPr>
        <w:br/>
      </w:r>
      <w:r>
        <w:rPr>
          <w:rStyle w:val="b"/>
          <w:b/>
          <w:bCs/>
          <w:lang w:val="es" w:eastAsia="es"/>
        </w:rPr>
        <w:t xml:space="preserve">Expide </w:t>
      </w:r>
      <w:r>
        <w:rPr>
          <w:rStyle w:val="font"/>
          <w:lang w:val="es" w:eastAsia="es"/>
        </w:rPr>
        <w:t>la:</w:t>
      </w:r>
    </w:p>
    <w:p>
      <w:pPr>
        <w:pStyle w:val="p"/>
        <w:spacing w:before="240" w:after="240"/>
        <w:rPr>
          <w:rStyle w:val="font"/>
          <w:lang w:val="es" w:eastAsia="es"/>
        </w:rPr>
      </w:pPr>
      <w:r>
        <w:rPr>
          <w:rStyle w:val="font"/>
          <w:lang w:val="es" w:eastAsia="es"/>
        </w:rPr>
        <w:br/>
      </w:r>
      <w:r>
        <w:rPr>
          <w:rStyle w:val="b"/>
          <w:b/>
          <w:bCs/>
          <w:lang w:val="es" w:eastAsia="es"/>
        </w:rPr>
        <w:t>"ORDENANZA PARA LA REGULARIZACIÓN DE BIENES MOSTRENCOS EN EL CANTÓN AMBATO"</w:t>
      </w:r>
    </w:p>
    <w:p>
      <w:pPr>
        <w:pStyle w:val="div"/>
        <w:pBdr>
          <w:top w:val="none" w:sz="0" w:space="5" w:color="auto"/>
          <w:left w:val="none" w:sz="0" w:space="0" w:color="auto"/>
          <w:bottom w:val="none" w:sz="0" w:space="2" w:color="auto"/>
          <w:right w:val="none" w:sz="0" w:space="0" w:color="auto"/>
        </w:pBdr>
        <w:rPr>
          <w:rStyle w:val="font"/>
          <w:lang w:val="es" w:eastAsia="es"/>
        </w:rPr>
      </w:pPr>
      <w:r>
        <w:rPr>
          <w:rStyle w:val="b"/>
          <w:b/>
          <w:bCs/>
          <w:color w:val="62ACB8"/>
          <w:lang w:val="es" w:eastAsia="es"/>
        </w:rPr>
        <w:t>Art. 1.-</w:t>
      </w:r>
      <w:r>
        <w:rPr>
          <w:rStyle w:val="font"/>
          <w:lang w:val="es" w:eastAsia="es"/>
        </w:rPr>
        <w:t xml:space="preserve"> </w:t>
      </w:r>
      <w:r>
        <w:rPr>
          <w:rStyle w:val="b"/>
          <w:b/>
          <w:bCs/>
          <w:lang w:val="es" w:eastAsia="es"/>
        </w:rPr>
        <w:t xml:space="preserve">Ámbito de aplicación.- </w:t>
      </w:r>
      <w:r>
        <w:rPr>
          <w:rStyle w:val="font"/>
          <w:lang w:val="es" w:eastAsia="es"/>
        </w:rPr>
        <w:t>La presente ordenanza se aplicará en aquellos bienes inmuebles situados dentro de la jurisdicción del cantón Ambato.</w:t>
      </w:r>
    </w:p>
    <w:p>
      <w:pPr>
        <w:pStyle w:val="div"/>
        <w:rPr>
          <w:rStyle w:val="font"/>
          <w:lang w:val="es" w:eastAsia="es"/>
        </w:rPr>
      </w:pPr>
      <w:r>
        <w:rPr>
          <w:rStyle w:val="b"/>
          <w:b/>
          <w:bCs/>
          <w:color w:val="62ACB8"/>
          <w:lang w:val="es" w:eastAsia="es"/>
        </w:rPr>
        <w:t>Art. 2.-</w:t>
      </w:r>
      <w:r>
        <w:rPr>
          <w:rStyle w:val="font"/>
          <w:lang w:val="es" w:eastAsia="es"/>
        </w:rPr>
        <w:t xml:space="preserve"> </w:t>
      </w:r>
      <w:r>
        <w:rPr>
          <w:rStyle w:val="b"/>
          <w:b/>
          <w:bCs/>
          <w:lang w:val="es" w:eastAsia="es"/>
        </w:rPr>
        <w:t xml:space="preserve">Objeto.- </w:t>
      </w:r>
      <w:r>
        <w:rPr>
          <w:rStyle w:val="font"/>
          <w:lang w:val="es" w:eastAsia="es"/>
        </w:rPr>
        <w:t>Tiene por objeto lo siguiente:</w:t>
      </w:r>
    </w:p>
    <w:p>
      <w:pPr>
        <w:pStyle w:val="p"/>
        <w:spacing w:before="240" w:after="240"/>
        <w:rPr>
          <w:rStyle w:val="font"/>
          <w:lang w:val="es" w:eastAsia="es"/>
        </w:rPr>
      </w:pPr>
      <w:r>
        <w:rPr>
          <w:rStyle w:val="font"/>
          <w:lang w:val="es" w:eastAsia="es"/>
        </w:rPr>
        <w:br/>
      </w:r>
      <w:r>
        <w:rPr>
          <w:rStyle w:val="font"/>
          <w:lang w:val="es" w:eastAsia="es"/>
        </w:rPr>
        <w:t>a) Incorporar al patrimonio municipal como bien de dominio privado de conformidad con la Ley, los bienes inmuebles vacantes o mostrencos ubicados dentro de la jurisdicción del cantón Ambato; y,</w:t>
      </w:r>
    </w:p>
    <w:p>
      <w:pPr>
        <w:pStyle w:val="p"/>
        <w:spacing w:before="240" w:after="240"/>
        <w:rPr>
          <w:rStyle w:val="font"/>
          <w:lang w:val="es" w:eastAsia="es"/>
        </w:rPr>
      </w:pPr>
      <w:r>
        <w:rPr>
          <w:rStyle w:val="font"/>
          <w:lang w:val="es" w:eastAsia="es"/>
        </w:rPr>
        <w:t>b) Garantizar el ejercicio pleno de los derechos de dominio por parte del Gobierno Autónomo Descentralizado Municipalidad de Ambato, respetando la Ley Orgánica de Tierras Rurales y Territorios Ancestrales.</w:t>
      </w:r>
    </w:p>
    <w:p>
      <w:pPr>
        <w:pStyle w:val="div"/>
        <w:pBdr>
          <w:top w:val="none" w:sz="0" w:space="5" w:color="auto"/>
          <w:left w:val="none" w:sz="0" w:space="0" w:color="auto"/>
          <w:bottom w:val="none" w:sz="0" w:space="2" w:color="auto"/>
          <w:right w:val="none" w:sz="0" w:space="0" w:color="auto"/>
        </w:pBdr>
        <w:rPr>
          <w:rStyle w:val="font"/>
          <w:lang w:val="es" w:eastAsia="es"/>
        </w:rPr>
      </w:pPr>
      <w:r>
        <w:rPr>
          <w:rStyle w:val="b"/>
          <w:b/>
          <w:bCs/>
          <w:color w:val="62ACB8"/>
          <w:lang w:val="es" w:eastAsia="es"/>
        </w:rPr>
        <w:t>Art. 3.-</w:t>
      </w:r>
      <w:r>
        <w:rPr>
          <w:rStyle w:val="font"/>
          <w:lang w:val="es" w:eastAsia="es"/>
        </w:rPr>
        <w:t xml:space="preserve"> </w:t>
      </w:r>
      <w:r>
        <w:rPr>
          <w:rStyle w:val="b"/>
          <w:b/>
          <w:bCs/>
          <w:lang w:val="es" w:eastAsia="es"/>
        </w:rPr>
        <w:t xml:space="preserve">Principios.- </w:t>
      </w:r>
      <w:r>
        <w:rPr>
          <w:rStyle w:val="font"/>
          <w:lang w:val="es" w:eastAsia="es"/>
        </w:rPr>
        <w:t>La presente ordenanza se sustenta en los principios de legalidad, generalidad, autonomía, solidaridad y responsabilidad.</w:t>
      </w:r>
    </w:p>
    <w:p>
      <w:pPr>
        <w:pStyle w:val="div"/>
        <w:rPr>
          <w:rStyle w:val="font"/>
          <w:lang w:val="es" w:eastAsia="es"/>
        </w:rPr>
      </w:pPr>
      <w:r>
        <w:rPr>
          <w:rStyle w:val="b"/>
          <w:b/>
          <w:bCs/>
          <w:color w:val="62ACB8"/>
          <w:lang w:val="es" w:eastAsia="es"/>
        </w:rPr>
        <w:t>Art. 4.-</w:t>
      </w:r>
      <w:r>
        <w:rPr>
          <w:rStyle w:val="font"/>
          <w:lang w:val="es" w:eastAsia="es"/>
        </w:rPr>
        <w:t xml:space="preserve"> </w:t>
      </w:r>
      <w:r>
        <w:rPr>
          <w:rStyle w:val="b"/>
          <w:b/>
          <w:bCs/>
          <w:lang w:val="es" w:eastAsia="es"/>
        </w:rPr>
        <w:t xml:space="preserve">Definiciones.- </w:t>
      </w:r>
      <w:r>
        <w:rPr>
          <w:rStyle w:val="font"/>
          <w:lang w:val="es" w:eastAsia="es"/>
        </w:rPr>
        <w:t>Para efectos legales de la presente ordenanza, se establecen las siguientes definiciones:</w:t>
      </w:r>
    </w:p>
    <w:p>
      <w:pPr>
        <w:pStyle w:val="p"/>
        <w:spacing w:before="240" w:after="240"/>
        <w:rPr>
          <w:rStyle w:val="font"/>
          <w:lang w:val="es" w:eastAsia="es"/>
        </w:rPr>
      </w:pPr>
      <w:r>
        <w:rPr>
          <w:rStyle w:val="font"/>
          <w:lang w:val="es" w:eastAsia="es"/>
        </w:rPr>
        <w:br/>
      </w:r>
      <w:r>
        <w:rPr>
          <w:rStyle w:val="font"/>
          <w:lang w:val="es" w:eastAsia="es"/>
        </w:rPr>
        <w:t xml:space="preserve">a) </w:t>
      </w:r>
      <w:r>
        <w:rPr>
          <w:rStyle w:val="b"/>
          <w:b/>
          <w:bCs/>
          <w:lang w:val="es" w:eastAsia="es"/>
        </w:rPr>
        <w:t xml:space="preserve">Bienes Mostrencos.- </w:t>
      </w:r>
      <w:r>
        <w:rPr>
          <w:rStyle w:val="font"/>
          <w:lang w:val="es" w:eastAsia="es"/>
        </w:rPr>
        <w:t>Son aquellos bienes inmuebles que carecen de dueño conocido, conforme lo establece el Código Orgánico de Organización Territorial, Autonomía y Descentralización - COOTAD.</w:t>
      </w:r>
    </w:p>
    <w:p>
      <w:pPr>
        <w:pStyle w:val="p"/>
        <w:spacing w:before="240" w:after="240"/>
        <w:rPr>
          <w:rStyle w:val="font"/>
          <w:lang w:val="es" w:eastAsia="es"/>
        </w:rPr>
      </w:pPr>
      <w:r>
        <w:rPr>
          <w:rStyle w:val="font"/>
          <w:lang w:val="es" w:eastAsia="es"/>
        </w:rPr>
        <w:br/>
      </w:r>
      <w:r>
        <w:rPr>
          <w:rStyle w:val="font"/>
          <w:lang w:val="es" w:eastAsia="es"/>
        </w:rPr>
        <w:t xml:space="preserve">b) </w:t>
      </w:r>
      <w:r>
        <w:rPr>
          <w:rStyle w:val="b"/>
          <w:b/>
          <w:bCs/>
          <w:lang w:val="es" w:eastAsia="es"/>
        </w:rPr>
        <w:t xml:space="preserve">Predio.- </w:t>
      </w:r>
      <w:r>
        <w:rPr>
          <w:rStyle w:val="font"/>
          <w:lang w:val="es" w:eastAsia="es"/>
        </w:rPr>
        <w:t>Se considerará como predio a todo bien inmueble con o sin edificación, finca, heredad, hacienda, tierra y propiedad.</w:t>
      </w:r>
    </w:p>
    <w:p>
      <w:pPr>
        <w:pStyle w:val="p"/>
        <w:spacing w:before="240" w:after="240"/>
        <w:rPr>
          <w:rStyle w:val="font"/>
          <w:lang w:val="es" w:eastAsia="es"/>
        </w:rPr>
      </w:pPr>
      <w:r>
        <w:rPr>
          <w:rStyle w:val="font"/>
          <w:lang w:val="es" w:eastAsia="es"/>
        </w:rPr>
        <w:br/>
      </w:r>
      <w:r>
        <w:rPr>
          <w:rStyle w:val="font"/>
          <w:lang w:val="es" w:eastAsia="es"/>
        </w:rPr>
        <w:t xml:space="preserve">c) </w:t>
      </w:r>
      <w:r>
        <w:rPr>
          <w:rStyle w:val="b"/>
          <w:b/>
          <w:bCs/>
          <w:lang w:val="es" w:eastAsia="es"/>
        </w:rPr>
        <w:t xml:space="preserve">Inmueble.- </w:t>
      </w:r>
      <w:r>
        <w:rPr>
          <w:rStyle w:val="font"/>
          <w:lang w:val="es" w:eastAsia="es"/>
        </w:rPr>
        <w:t>Son las fincas o bienes raíces que no pueden transportarse de un lugar a otro, como las tierras, minas, y las que se adhieren permanentemente a ellas, como los edificios.</w:t>
      </w:r>
    </w:p>
    <w:p>
      <w:pPr>
        <w:pStyle w:val="div"/>
        <w:pBdr>
          <w:top w:val="none" w:sz="0" w:space="5" w:color="auto"/>
          <w:left w:val="none" w:sz="0" w:space="0" w:color="auto"/>
          <w:bottom w:val="none" w:sz="0" w:space="2" w:color="auto"/>
          <w:right w:val="none" w:sz="0" w:space="0" w:color="auto"/>
        </w:pBdr>
        <w:rPr>
          <w:rStyle w:val="font"/>
          <w:lang w:val="es" w:eastAsia="es"/>
        </w:rPr>
      </w:pPr>
      <w:r>
        <w:rPr>
          <w:rStyle w:val="b"/>
          <w:b/>
          <w:bCs/>
          <w:color w:val="62ACB8"/>
          <w:lang w:val="es" w:eastAsia="es"/>
        </w:rPr>
        <w:t>Art. 5.-</w:t>
      </w:r>
      <w:r>
        <w:rPr>
          <w:rStyle w:val="font"/>
          <w:lang w:val="es" w:eastAsia="es"/>
        </w:rPr>
        <w:t xml:space="preserve"> </w:t>
      </w:r>
      <w:r>
        <w:rPr>
          <w:rStyle w:val="b"/>
          <w:b/>
          <w:bCs/>
          <w:lang w:val="es" w:eastAsia="es"/>
        </w:rPr>
        <w:t xml:space="preserve">De la titularidad del bien mostrenco.- </w:t>
      </w:r>
      <w:r>
        <w:rPr>
          <w:rStyle w:val="font"/>
          <w:lang w:val="es" w:eastAsia="es"/>
        </w:rPr>
        <w:t>Los bienes mostrencos al estar carentes de dueño conocido, luego de cumplir con el proceso y con los requisitos correspondientes señalados en la presente ordenanza y pasarán a formar parte de los activos del Gobierno Autónomo Descentralizado Municipalidad de Ambato, para lo cual las Direcciones Financiera; y, Catastros y Avalúos llevarán un inventario de estos bienes.</w:t>
      </w:r>
    </w:p>
    <w:p>
      <w:pPr>
        <w:pStyle w:val="div"/>
        <w:pBdr>
          <w:top w:val="none" w:sz="0" w:space="5" w:color="auto"/>
          <w:left w:val="none" w:sz="0" w:space="0" w:color="auto"/>
          <w:bottom w:val="none" w:sz="0" w:space="2" w:color="auto"/>
          <w:right w:val="none" w:sz="0" w:space="0" w:color="auto"/>
        </w:pBdr>
        <w:rPr>
          <w:rStyle w:val="font"/>
          <w:lang w:val="es" w:eastAsia="es"/>
        </w:rPr>
      </w:pPr>
      <w:r>
        <w:rPr>
          <w:rStyle w:val="b"/>
          <w:b/>
          <w:bCs/>
          <w:color w:val="62ACB8"/>
          <w:lang w:val="es" w:eastAsia="es"/>
        </w:rPr>
        <w:t>Art. 6.-</w:t>
      </w:r>
      <w:r>
        <w:rPr>
          <w:rStyle w:val="font"/>
          <w:lang w:val="es" w:eastAsia="es"/>
        </w:rPr>
        <w:t xml:space="preserve"> </w:t>
      </w:r>
      <w:r>
        <w:rPr>
          <w:rStyle w:val="b"/>
          <w:b/>
          <w:bCs/>
          <w:lang w:val="es" w:eastAsia="es"/>
        </w:rPr>
        <w:t xml:space="preserve">De la identificación del bien mostrenco.- </w:t>
      </w:r>
      <w:r>
        <w:rPr>
          <w:rStyle w:val="font"/>
          <w:lang w:val="es" w:eastAsia="es"/>
        </w:rPr>
        <w:t>La identificación del bien inmueble mostrenco lo hará de oficio la Administración o se la realizará mediante solicitud ciudadana.</w:t>
      </w:r>
    </w:p>
    <w:p>
      <w:pPr>
        <w:pStyle w:val="div"/>
        <w:rPr>
          <w:rStyle w:val="font"/>
          <w:lang w:val="es" w:eastAsia="es"/>
        </w:rPr>
      </w:pPr>
      <w:r>
        <w:rPr>
          <w:rStyle w:val="b"/>
          <w:b/>
          <w:bCs/>
          <w:color w:val="62ACB8"/>
          <w:lang w:val="es" w:eastAsia="es"/>
        </w:rPr>
        <w:t>Art. 7.-</w:t>
      </w:r>
      <w:r>
        <w:rPr>
          <w:rStyle w:val="font"/>
          <w:lang w:val="es" w:eastAsia="es"/>
        </w:rPr>
        <w:t xml:space="preserve"> </w:t>
      </w:r>
      <w:r>
        <w:rPr>
          <w:rStyle w:val="b"/>
          <w:b/>
          <w:bCs/>
          <w:lang w:val="es" w:eastAsia="es"/>
        </w:rPr>
        <w:t xml:space="preserve">De los Requisitos.- </w:t>
      </w:r>
      <w:r>
        <w:rPr>
          <w:rStyle w:val="font"/>
          <w:lang w:val="es" w:eastAsia="es"/>
        </w:rPr>
        <w:t>El peticionario deberá cumplir con los siguientes requisitos:</w:t>
      </w:r>
    </w:p>
    <w:p>
      <w:pPr>
        <w:pStyle w:val="p"/>
        <w:spacing w:before="240" w:after="240"/>
        <w:rPr>
          <w:rStyle w:val="font"/>
          <w:lang w:val="es" w:eastAsia="es"/>
        </w:rPr>
      </w:pPr>
      <w:r>
        <w:rPr>
          <w:rStyle w:val="font"/>
          <w:lang w:val="es" w:eastAsia="es"/>
        </w:rPr>
        <w:br/>
      </w:r>
      <w:r>
        <w:rPr>
          <w:rStyle w:val="font"/>
          <w:lang w:val="es" w:eastAsia="es"/>
        </w:rPr>
        <w:t>a) Solicitud dirigida a la máxima autoridad del Gobierno Autónomo Descentralizado Municipalidad de Ambato.</w:t>
      </w:r>
    </w:p>
    <w:p>
      <w:pPr>
        <w:pStyle w:val="p"/>
        <w:spacing w:before="240" w:after="240"/>
        <w:rPr>
          <w:rStyle w:val="font"/>
          <w:lang w:val="es" w:eastAsia="es"/>
        </w:rPr>
      </w:pPr>
      <w:r>
        <w:rPr>
          <w:rStyle w:val="font"/>
          <w:lang w:val="es" w:eastAsia="es"/>
        </w:rPr>
        <w:t>b) Adjuntar la documentación que justifique la representación en la calidad que comparece en caso de ser autoridad.</w:t>
      </w:r>
    </w:p>
    <w:p>
      <w:pPr>
        <w:pStyle w:val="div"/>
        <w:rPr>
          <w:rStyle w:val="font"/>
          <w:lang w:val="es" w:eastAsia="es"/>
        </w:rPr>
      </w:pPr>
      <w:r>
        <w:rPr>
          <w:rStyle w:val="b"/>
          <w:b/>
          <w:bCs/>
          <w:color w:val="62ACB8"/>
          <w:lang w:val="es" w:eastAsia="es"/>
        </w:rPr>
        <w:t>Art. 8.-</w:t>
      </w:r>
      <w:r>
        <w:rPr>
          <w:rStyle w:val="font"/>
          <w:lang w:val="es" w:eastAsia="es"/>
        </w:rPr>
        <w:t xml:space="preserve"> </w:t>
      </w:r>
      <w:r>
        <w:rPr>
          <w:rStyle w:val="b"/>
          <w:b/>
          <w:bCs/>
          <w:lang w:val="es" w:eastAsia="es"/>
        </w:rPr>
        <w:t xml:space="preserve">Del Proceso.- </w:t>
      </w:r>
      <w:r>
        <w:rPr>
          <w:rStyle w:val="font"/>
          <w:lang w:val="es" w:eastAsia="es"/>
        </w:rPr>
        <w:t>La solicitud presentada será remitida al Alcalde/sa, para que, con su sumilla, la Dirección de Catastros y Avalúos; y, demás direcciones involucradas procedan conforme se indica a continuación; sin perjuicio de que el GAD Municipalidad de Ambato lo realice de oficio:</w:t>
      </w:r>
    </w:p>
    <w:p>
      <w:pPr>
        <w:pStyle w:val="p"/>
        <w:spacing w:before="240" w:after="240"/>
        <w:rPr>
          <w:rStyle w:val="font"/>
          <w:lang w:val="es" w:eastAsia="es"/>
        </w:rPr>
      </w:pPr>
      <w:r>
        <w:rPr>
          <w:rStyle w:val="font"/>
          <w:lang w:val="es" w:eastAsia="es"/>
        </w:rPr>
        <w:br/>
      </w:r>
      <w:r>
        <w:rPr>
          <w:rStyle w:val="font"/>
          <w:lang w:val="es" w:eastAsia="es"/>
        </w:rPr>
        <w:t>a) La Dirección de Catastros y Avalúos.- Elaborará la planimetría del inmueble y emitirá la información catastral, la cual será remitida a la Dirección de Planificación.;</w:t>
      </w:r>
    </w:p>
    <w:p>
      <w:pPr>
        <w:pStyle w:val="p"/>
        <w:spacing w:before="240" w:after="240"/>
        <w:rPr>
          <w:rStyle w:val="font"/>
          <w:lang w:val="es" w:eastAsia="es"/>
        </w:rPr>
      </w:pPr>
      <w:r>
        <w:rPr>
          <w:rStyle w:val="font"/>
          <w:lang w:val="es" w:eastAsia="es"/>
        </w:rPr>
        <w:t>b) La Dirección de Planificación.- Con la documentación enviada por Catastros y Avalúos, realizará el informe respecto de las posibles afectaciones viales o proyectos a desarrollarse en dicho predio, el que formará parte del expediente y que será devuelto a la Dirección de Catastros y Avalúos, en un término de 15 días.;</w:t>
      </w:r>
    </w:p>
    <w:p>
      <w:pPr>
        <w:pStyle w:val="p"/>
        <w:spacing w:before="240" w:after="240"/>
        <w:rPr>
          <w:rStyle w:val="font"/>
          <w:lang w:val="es" w:eastAsia="es"/>
        </w:rPr>
      </w:pPr>
      <w:r>
        <w:rPr>
          <w:rStyle w:val="font"/>
          <w:lang w:val="es" w:eastAsia="es"/>
        </w:rPr>
        <w:t>c) Con la documentación recibida la Dirección de Catastros y Avalúos, en un término de 15 días, elaborará un informe en el que solicitará a la máxima autoridad, autorice el inicio del proceso de declaratoria de bien mostrenco.</w:t>
      </w:r>
    </w:p>
    <w:p>
      <w:pPr>
        <w:pStyle w:val="p"/>
        <w:spacing w:before="240" w:after="240"/>
        <w:rPr>
          <w:rStyle w:val="font"/>
          <w:lang w:val="es" w:eastAsia="es"/>
        </w:rPr>
      </w:pPr>
      <w:r>
        <w:rPr>
          <w:rStyle w:val="font"/>
          <w:lang w:val="es" w:eastAsia="es"/>
        </w:rPr>
        <w:t>d) Con la autorización de la máxima autoridad, la Dirección de Catastros y Avalúos, comunicará a la Unidad de Comunicación Institucional, para que proceda con la publicación del extracto del informe con el que se da inicio a la declaratoria de bien mostrenco, la que contendrá los datos del bien o del predio a declararse; dicha publicación se la hará en dos (2) días mediando ocho (8) días en cada una, en un diario de mayor circulación del Cantón y en la página web institucional; luego de la última publicación, la Unidad de Comunicación Institucional emitirá la respectiva certificación de las publicaciones realizadas, a la Dirección de Catastros y Avalúos;</w:t>
      </w:r>
    </w:p>
    <w:p>
      <w:pPr>
        <w:pStyle w:val="p"/>
        <w:spacing w:before="240" w:after="240"/>
        <w:rPr>
          <w:rStyle w:val="font"/>
          <w:lang w:val="es" w:eastAsia="es"/>
        </w:rPr>
      </w:pPr>
      <w:r>
        <w:rPr>
          <w:rStyle w:val="font"/>
          <w:lang w:val="es" w:eastAsia="es"/>
        </w:rPr>
        <w:t>e) La Dirección de Catastros y Avalúos, solicitará a la Dirección de Obras Públicas para que coloque un rótulo informativo en un lugar visible del bien o predio a declararse mostrenco, dando a conocer sobre el proceso que el GAD Municipalidad de Ambato lleva a cabo; esta dirección deberá certificar el cumplimiento de lo solicitado, en un término de 15 días, desde la recepción de la solicitud.;</w:t>
      </w:r>
    </w:p>
    <w:p>
      <w:pPr>
        <w:pStyle w:val="p"/>
        <w:spacing w:before="240" w:after="240"/>
        <w:rPr>
          <w:rStyle w:val="font"/>
          <w:lang w:val="es" w:eastAsia="es"/>
        </w:rPr>
      </w:pPr>
      <w:r>
        <w:rPr>
          <w:rStyle w:val="font"/>
          <w:lang w:val="es" w:eastAsia="es"/>
        </w:rPr>
        <w:t>f) Con la certificación mencionada en el literal anterior, la Dirección de Catastros y Avalúos, solicitará a la Dirección Financiera que certifique si el bien singularizado por la Dirección de Catastros y Avalúos, se encuentra o no inventariado dentro de los bienes de dominio privado, o de dominio público, dicha certificación deberá ser remitida en el término de 15 días.</w:t>
      </w:r>
    </w:p>
    <w:p>
      <w:pPr>
        <w:pStyle w:val="p"/>
        <w:spacing w:before="240" w:after="240"/>
        <w:rPr>
          <w:rStyle w:val="font"/>
          <w:lang w:val="es" w:eastAsia="es"/>
        </w:rPr>
      </w:pPr>
      <w:r>
        <w:rPr>
          <w:rStyle w:val="font"/>
          <w:lang w:val="es" w:eastAsia="es"/>
        </w:rPr>
        <w:t>g) Una vez cumplido el término de los 30 días, luego de la última publicación en la prensa, la Dirección de Catastros y Avalúos solicitará a la Secretaría de Alcaldía, certifique si existe algún trámite ingresado respecto al proceso de declaratoria de bien mostrenco, dicha certificación será remitida en el término de 3 días.</w:t>
      </w:r>
    </w:p>
    <w:p>
      <w:pPr>
        <w:pStyle w:val="p"/>
        <w:spacing w:before="240" w:after="240"/>
        <w:rPr>
          <w:rStyle w:val="font"/>
          <w:lang w:val="es" w:eastAsia="es"/>
        </w:rPr>
      </w:pPr>
      <w:r>
        <w:rPr>
          <w:rStyle w:val="font"/>
          <w:lang w:val="es" w:eastAsia="es"/>
        </w:rPr>
        <w:t>h) En caso de existir trámite alguno, se procederá conforme lo establecido en el Art. 9 de la presente Ordenanza.</w:t>
      </w:r>
    </w:p>
    <w:p>
      <w:pPr>
        <w:pStyle w:val="p"/>
        <w:spacing w:before="240" w:after="240"/>
        <w:rPr>
          <w:rStyle w:val="font"/>
          <w:lang w:val="es" w:eastAsia="es"/>
        </w:rPr>
      </w:pPr>
      <w:r>
        <w:rPr>
          <w:rStyle w:val="font"/>
          <w:lang w:val="es" w:eastAsia="es"/>
        </w:rPr>
        <w:t>i) Una vez recabada la documentación antes mencionada, la Dirección de Catastros y Avalúos, solicitará a Procuraduría Sindica Municipal, emita informe jurídico, respecto del cabal cumplimiento de todo el proceso administrativo, el cual concluirá con la recomendación favorable o no para conocimiento y resolución del Concejo Municipal, para la declaratoria de bienes mostrencos, dicho informe será remitido en el término de 15 días;</w:t>
      </w:r>
    </w:p>
    <w:p>
      <w:pPr>
        <w:pStyle w:val="p"/>
        <w:spacing w:before="240" w:after="240"/>
        <w:rPr>
          <w:rStyle w:val="font"/>
          <w:lang w:val="es" w:eastAsia="es"/>
        </w:rPr>
      </w:pPr>
      <w:r>
        <w:rPr>
          <w:rStyle w:val="font"/>
          <w:lang w:val="es" w:eastAsia="es"/>
        </w:rPr>
        <w:t>j) Una vez recabado el informe de Procuraduría Sindica Municipal, la Dirección de Catastros y Avalúos, elaborará el informe respectivo al Alcalde/sa para que sea remitido al Seno del Concejo Municipal, en donde a través de Resolución debidamente fundamentada se declare como bien mostrenco dicho bien o predio.;</w:t>
      </w:r>
    </w:p>
    <w:p>
      <w:pPr>
        <w:pStyle w:val="p"/>
        <w:spacing w:before="240" w:after="240"/>
        <w:rPr>
          <w:rStyle w:val="font"/>
          <w:lang w:val="es" w:eastAsia="es"/>
        </w:rPr>
      </w:pPr>
      <w:r>
        <w:rPr>
          <w:rStyle w:val="font"/>
          <w:lang w:val="es" w:eastAsia="es"/>
        </w:rPr>
        <w:t>k) Con la Resolución emitida por el Concejo Municipal, le corresponde a Procuraduría Sindica Municipal, realizar el trámite legal de protocolización e inscripción en el Registro Municipal de la Propiedad; una vez inscrito procederá a remitir copia de dicha escritura de protocolización, a las Direcciones pertinentes, especialmente al Administrativo y Financiero las que llevarán el control administrativo y contable, del o los bienes declarados como mostrencos de conformidad a la Ley, los cuales deberán estar debidamente Catastrados en favor de la Municipalidad.; y,</w:t>
      </w:r>
    </w:p>
    <w:p>
      <w:pPr>
        <w:pStyle w:val="p"/>
        <w:spacing w:before="240" w:after="240"/>
        <w:rPr>
          <w:rStyle w:val="font"/>
          <w:lang w:val="es" w:eastAsia="es"/>
        </w:rPr>
      </w:pPr>
      <w:r>
        <w:rPr>
          <w:rStyle w:val="font"/>
          <w:lang w:val="es" w:eastAsia="es"/>
        </w:rPr>
        <w:t>l) En caso de que el requirente sea un GAD Parroquial, el GAD Municipalidad de Ambato iniciará el proceso de transferencia del bien declarado mostrenco, en un término de sesenta (60 días).</w:t>
      </w:r>
    </w:p>
    <w:p>
      <w:pPr>
        <w:pStyle w:val="div"/>
        <w:rPr>
          <w:rStyle w:val="font"/>
          <w:lang w:val="es" w:eastAsia="es"/>
        </w:rPr>
      </w:pPr>
      <w:r>
        <w:rPr>
          <w:rStyle w:val="b"/>
          <w:b/>
          <w:bCs/>
          <w:color w:val="62ACB8"/>
          <w:lang w:val="es" w:eastAsia="es"/>
        </w:rPr>
        <w:t>Art. 9.-</w:t>
      </w:r>
      <w:r>
        <w:rPr>
          <w:rStyle w:val="font"/>
          <w:lang w:val="es" w:eastAsia="es"/>
        </w:rPr>
        <w:t xml:space="preserve"> </w:t>
      </w:r>
      <w:r>
        <w:rPr>
          <w:rStyle w:val="b"/>
          <w:b/>
          <w:bCs/>
          <w:lang w:val="es" w:eastAsia="es"/>
        </w:rPr>
        <w:t>Del reclamo y suspensión del proceso por identificación del propietario.</w:t>
      </w:r>
      <w:r>
        <w:rPr>
          <w:rStyle w:val="font"/>
          <w:lang w:val="es" w:eastAsia="es"/>
        </w:rPr>
        <w:t>- Cuando no se haya concluido el trámite, las personas que se consideren afectadas por la posible declaratoria de bien mostrenco, podrán presentar sus reclamos ante el señor Alcalde/sa adjuntando:</w:t>
      </w:r>
    </w:p>
    <w:p>
      <w:pPr>
        <w:pStyle w:val="p"/>
        <w:spacing w:before="240" w:after="240"/>
        <w:rPr>
          <w:rStyle w:val="font"/>
          <w:lang w:val="es" w:eastAsia="es"/>
        </w:rPr>
      </w:pPr>
      <w:r>
        <w:rPr>
          <w:rStyle w:val="font"/>
          <w:lang w:val="es" w:eastAsia="es"/>
        </w:rPr>
        <w:br/>
      </w:r>
      <w:r>
        <w:rPr>
          <w:rStyle w:val="font"/>
          <w:lang w:val="es" w:eastAsia="es"/>
        </w:rPr>
        <w:t>a. Copia certificada de la escritura debidamente inscrita en el Registro Municipal de la Propiedad;</w:t>
      </w:r>
    </w:p>
    <w:p>
      <w:pPr>
        <w:pStyle w:val="p"/>
        <w:spacing w:before="240" w:after="240"/>
        <w:rPr>
          <w:rStyle w:val="font"/>
          <w:lang w:val="es" w:eastAsia="es"/>
        </w:rPr>
      </w:pPr>
      <w:r>
        <w:rPr>
          <w:rStyle w:val="font"/>
          <w:lang w:val="es" w:eastAsia="es"/>
        </w:rPr>
        <w:t>b. Copia de la carta de pago del impuesto predial que tuviere; y,</w:t>
      </w:r>
    </w:p>
    <w:p>
      <w:pPr>
        <w:pStyle w:val="p"/>
        <w:spacing w:before="240" w:after="240"/>
        <w:rPr>
          <w:rStyle w:val="font"/>
          <w:lang w:val="es" w:eastAsia="es"/>
        </w:rPr>
      </w:pPr>
      <w:r>
        <w:rPr>
          <w:rStyle w:val="font"/>
          <w:lang w:val="es" w:eastAsia="es"/>
        </w:rPr>
        <w:t>c. Certificado actualizado de gravámenes.</w:t>
      </w:r>
    </w:p>
    <w:p>
      <w:pPr>
        <w:pStyle w:val="p"/>
        <w:spacing w:before="240" w:after="240"/>
        <w:rPr>
          <w:rStyle w:val="font"/>
          <w:lang w:val="es" w:eastAsia="es"/>
        </w:rPr>
      </w:pPr>
      <w:r>
        <w:rPr>
          <w:rStyle w:val="font"/>
          <w:lang w:val="es" w:eastAsia="es"/>
        </w:rPr>
        <w:br/>
      </w:r>
      <w:r>
        <w:rPr>
          <w:rStyle w:val="font"/>
          <w:lang w:val="es" w:eastAsia="es"/>
        </w:rPr>
        <w:t>De haber justificado el peticionario(s), en legal y debida forma su derecho de dominio sobre el bien inmueble que se encuentre en proceso de declaratoria de bien mostrenco y demostrada la titularidad de dominio, con el informe de Procuraduría Sindica Municipal, y la autorización de la máxima autoridad, la Dirección de Catastros y Avalúos suspenderá el proceso iniciado y catastrará el predio a nombre de su propietario(s) o de sus legítimos herederos, estos últimos demostrarán su calidad, a través de la presentación de la posesión efectiva.</w:t>
      </w:r>
    </w:p>
    <w:p>
      <w:pPr>
        <w:pStyle w:val="div"/>
        <w:pBdr>
          <w:top w:val="none" w:sz="0" w:space="5" w:color="auto"/>
          <w:left w:val="none" w:sz="0" w:space="0" w:color="auto"/>
          <w:bottom w:val="none" w:sz="0" w:space="2" w:color="auto"/>
          <w:right w:val="none" w:sz="0" w:space="0" w:color="auto"/>
        </w:pBdr>
        <w:rPr>
          <w:rStyle w:val="font"/>
          <w:lang w:val="es" w:eastAsia="es"/>
        </w:rPr>
      </w:pPr>
      <w:r>
        <w:rPr>
          <w:rStyle w:val="b"/>
          <w:b/>
          <w:bCs/>
          <w:color w:val="62ACB8"/>
          <w:lang w:val="es" w:eastAsia="es"/>
        </w:rPr>
        <w:t>Art. 10.-</w:t>
      </w:r>
      <w:r>
        <w:rPr>
          <w:rStyle w:val="font"/>
          <w:lang w:val="es" w:eastAsia="es"/>
        </w:rPr>
        <w:t xml:space="preserve"> </w:t>
      </w:r>
      <w:r>
        <w:rPr>
          <w:rStyle w:val="b"/>
          <w:b/>
          <w:bCs/>
          <w:lang w:val="es" w:eastAsia="es"/>
        </w:rPr>
        <w:t>De la revocatoria o modificación de la Resolución de Concejo Municipal.</w:t>
      </w:r>
      <w:r>
        <w:rPr>
          <w:rStyle w:val="font"/>
          <w:lang w:val="es" w:eastAsia="es"/>
        </w:rPr>
        <w:t>- Si el trámite hubiere concluido con la obtención del título de propiedad a favor del GAD Municipalidad de Ambato, el propietario/s o heredero/s demandarán por vía judicial, la revocatoria de la resolución del Concejo Municipal para que se anule el título de propiedad respectivo; este trámite será conocido por Procuraduría Sindica Municipal, quien luego de haber recibido la notificación con la sentencia respectiva, solicitará a la Dirección de Catastros y Avalúos, se catastre el predio a nombre de su verdadero propietario/s o heredero/s.</w:t>
      </w:r>
    </w:p>
    <w:p>
      <w:pPr>
        <w:pStyle w:val="div"/>
        <w:jc w:val="center"/>
        <w:rPr>
          <w:rStyle w:val="font"/>
          <w:lang w:val="es" w:eastAsia="es"/>
        </w:rPr>
      </w:pPr>
    </w:p>
    <w:p>
      <w:pPr>
        <w:pStyle w:val="p"/>
        <w:spacing w:before="240" w:after="240"/>
        <w:rPr>
          <w:rStyle w:val="b"/>
          <w:b/>
          <w:bCs/>
          <w:lang w:val="es" w:eastAsia="es"/>
        </w:rPr>
      </w:pPr>
      <w:r>
        <w:rPr>
          <w:rStyle w:val="b"/>
          <w:b/>
          <w:bCs/>
          <w:lang w:val="es" w:eastAsia="es"/>
        </w:rPr>
        <w:t>DISPOSICIONES GENERALES</w:t>
      </w:r>
    </w:p>
    <w:p>
      <w:pPr>
        <w:pStyle w:val="div"/>
        <w:pBdr>
          <w:top w:val="none" w:sz="0" w:space="5" w:color="auto"/>
          <w:left w:val="none" w:sz="0" w:space="0" w:color="auto"/>
          <w:bottom w:val="none" w:sz="0" w:space="2" w:color="auto"/>
          <w:right w:val="none" w:sz="0" w:space="0" w:color="auto"/>
        </w:pBdr>
        <w:rPr>
          <w:rStyle w:val="font"/>
          <w:lang w:val="es" w:eastAsia="es"/>
        </w:rPr>
      </w:pPr>
      <w:r>
        <w:rPr>
          <w:rStyle w:val="font"/>
          <w:lang w:val="es" w:eastAsia="es"/>
        </w:rPr>
        <w:t xml:space="preserve">Primera.- </w:t>
      </w:r>
      <w:r>
        <w:rPr>
          <w:rStyle w:val="b"/>
          <w:b/>
          <w:bCs/>
          <w:lang w:val="es" w:eastAsia="es"/>
        </w:rPr>
        <w:t xml:space="preserve">Exención.- </w:t>
      </w:r>
      <w:r>
        <w:rPr>
          <w:rStyle w:val="font"/>
          <w:lang w:val="es" w:eastAsia="es"/>
        </w:rPr>
        <w:t>Los bienes inmuebles declarados mostrencos, gozarán de la exención de impuestos de conformidad a lo dispuesto en el COOTAD y demás leyes conexas.</w:t>
      </w:r>
    </w:p>
    <w:p>
      <w:pPr>
        <w:pStyle w:val="div"/>
        <w:pBdr>
          <w:top w:val="none" w:sz="0" w:space="5" w:color="auto"/>
          <w:left w:val="none" w:sz="0" w:space="0" w:color="auto"/>
          <w:bottom w:val="none" w:sz="0" w:space="2" w:color="auto"/>
          <w:right w:val="none" w:sz="0" w:space="0" w:color="auto"/>
        </w:pBdr>
        <w:rPr>
          <w:rStyle w:val="font"/>
          <w:lang w:val="es" w:eastAsia="es"/>
        </w:rPr>
      </w:pPr>
      <w:r>
        <w:rPr>
          <w:rStyle w:val="b"/>
          <w:b/>
          <w:bCs/>
          <w:lang w:val="es" w:eastAsia="es"/>
        </w:rPr>
        <w:t xml:space="preserve">Segunda.- </w:t>
      </w:r>
      <w:r>
        <w:rPr>
          <w:rStyle w:val="font"/>
          <w:lang w:val="es" w:eastAsia="es"/>
        </w:rPr>
        <w:t>Para los casos de inmuebles que se declaren como bienes mostrencos en los cuales se encuentren asentamientos humanos de hecho y consolidados declarados de interés social por el Concejo Municipal de Ambato, y cuyo fin sea la regularización de dominio por parte de sus habitantes, se regirá a lo dispuesto en la Ordenanza creada para el efecto.</w:t>
      </w:r>
    </w:p>
    <w:p>
      <w:pPr>
        <w:pStyle w:val="div"/>
        <w:pBdr>
          <w:top w:val="none" w:sz="0" w:space="5" w:color="auto"/>
          <w:left w:val="none" w:sz="0" w:space="0" w:color="auto"/>
          <w:bottom w:val="none" w:sz="0" w:space="2" w:color="auto"/>
          <w:right w:val="none" w:sz="0" w:space="0" w:color="auto"/>
        </w:pBdr>
        <w:rPr>
          <w:rStyle w:val="font"/>
          <w:lang w:val="es" w:eastAsia="es"/>
        </w:rPr>
      </w:pPr>
      <w:r>
        <w:rPr>
          <w:rStyle w:val="font"/>
          <w:lang w:val="es" w:eastAsia="es"/>
        </w:rPr>
        <w:t xml:space="preserve">Tercera.- </w:t>
      </w:r>
      <w:r>
        <w:rPr>
          <w:rStyle w:val="b"/>
          <w:b/>
          <w:bCs/>
          <w:lang w:val="es" w:eastAsia="es"/>
        </w:rPr>
        <w:t xml:space="preserve">Normas Supletorias.- </w:t>
      </w:r>
      <w:r>
        <w:rPr>
          <w:rStyle w:val="font"/>
          <w:lang w:val="es" w:eastAsia="es"/>
        </w:rPr>
        <w:t>En todo aquello que no esté contemplado en la presente Ordenanza, se aplicará supletoriamente lo que estipula el Código Orgánico de Organización Territorial, Autonomía y Descentralización - COOTAD; Código Orgánico Administrativo; Código Civil; Ley del Sistema Nacional de Registro de Datos Públicos; Ley Notarial y más leyes conexas que sean aplicables y no se contrapongan.</w:t>
      </w:r>
    </w:p>
    <w:p>
      <w:pPr>
        <w:pStyle w:val="div"/>
        <w:jc w:val="center"/>
        <w:rPr>
          <w:rStyle w:val="font"/>
          <w:lang w:val="es" w:eastAsia="es"/>
        </w:rPr>
      </w:pPr>
    </w:p>
    <w:p>
      <w:pPr>
        <w:pStyle w:val="p"/>
        <w:spacing w:before="240" w:after="240"/>
        <w:rPr>
          <w:rStyle w:val="b"/>
          <w:b/>
          <w:bCs/>
          <w:lang w:val="es" w:eastAsia="es"/>
        </w:rPr>
      </w:pPr>
      <w:r>
        <w:rPr>
          <w:rStyle w:val="b"/>
          <w:b/>
          <w:bCs/>
          <w:lang w:val="es" w:eastAsia="es"/>
        </w:rPr>
        <w:t>DISPOSICIÓN TRANSITORIA</w:t>
      </w:r>
    </w:p>
    <w:p>
      <w:pPr>
        <w:pStyle w:val="div"/>
        <w:pBdr>
          <w:top w:val="none" w:sz="0" w:space="5" w:color="auto"/>
          <w:left w:val="none" w:sz="0" w:space="0" w:color="auto"/>
          <w:bottom w:val="none" w:sz="0" w:space="2" w:color="auto"/>
          <w:right w:val="none" w:sz="0" w:space="0" w:color="auto"/>
        </w:pBdr>
        <w:rPr>
          <w:rStyle w:val="font"/>
          <w:lang w:val="es" w:eastAsia="es"/>
        </w:rPr>
      </w:pPr>
      <w:r>
        <w:rPr>
          <w:rStyle w:val="b"/>
          <w:b/>
          <w:bCs/>
          <w:lang w:val="es" w:eastAsia="es"/>
        </w:rPr>
        <w:t xml:space="preserve">Única.- </w:t>
      </w:r>
      <w:r>
        <w:rPr>
          <w:rStyle w:val="font"/>
          <w:lang w:val="es" w:eastAsia="es"/>
        </w:rPr>
        <w:t>Los procedimientos de declaratoria como bien mostrenco, que se encuentren en trámite a la fecha de vigencia de esta ordenanza continuarán sustanciándose con la ordenanza vigente al momento de su inicio.</w:t>
      </w:r>
    </w:p>
    <w:p>
      <w:pPr>
        <w:pStyle w:val="div"/>
        <w:jc w:val="center"/>
        <w:rPr>
          <w:rStyle w:val="font"/>
          <w:lang w:val="es" w:eastAsia="es"/>
        </w:rPr>
      </w:pPr>
    </w:p>
    <w:p>
      <w:pPr>
        <w:pStyle w:val="p"/>
        <w:spacing w:before="240" w:after="240"/>
        <w:rPr>
          <w:rStyle w:val="b"/>
          <w:b/>
          <w:bCs/>
          <w:lang w:val="es" w:eastAsia="es"/>
        </w:rPr>
      </w:pPr>
      <w:r>
        <w:rPr>
          <w:rStyle w:val="b"/>
          <w:b/>
          <w:bCs/>
          <w:lang w:val="es" w:eastAsia="es"/>
        </w:rPr>
        <w:t>DISPOSICIÓN DEROGATORIA</w:t>
      </w:r>
    </w:p>
    <w:p>
      <w:pPr>
        <w:pStyle w:val="div"/>
        <w:pBdr>
          <w:top w:val="none" w:sz="0" w:space="5" w:color="auto"/>
          <w:left w:val="none" w:sz="0" w:space="0" w:color="auto"/>
          <w:bottom w:val="none" w:sz="0" w:space="2" w:color="auto"/>
          <w:right w:val="none" w:sz="0" w:space="0" w:color="auto"/>
        </w:pBdr>
        <w:rPr>
          <w:rStyle w:val="font"/>
          <w:lang w:val="es" w:eastAsia="es"/>
        </w:rPr>
      </w:pPr>
      <w:r>
        <w:rPr>
          <w:rStyle w:val="b"/>
          <w:b/>
          <w:bCs/>
          <w:lang w:val="es" w:eastAsia="es"/>
        </w:rPr>
        <w:t xml:space="preserve">Única.- </w:t>
      </w:r>
      <w:r>
        <w:rPr>
          <w:rStyle w:val="font"/>
          <w:lang w:val="es" w:eastAsia="es"/>
        </w:rPr>
        <w:t>Mediante la presente Ordenanza, cualquier normativa de igual o menor jerarquía referente a la materia queda expresamente derogada.</w:t>
      </w:r>
    </w:p>
    <w:p>
      <w:pPr>
        <w:pStyle w:val="div"/>
        <w:jc w:val="center"/>
        <w:rPr>
          <w:rStyle w:val="font"/>
          <w:lang w:val="es" w:eastAsia="es"/>
        </w:rPr>
      </w:pPr>
    </w:p>
    <w:p>
      <w:pPr>
        <w:pStyle w:val="p"/>
        <w:spacing w:before="240" w:after="240"/>
        <w:rPr>
          <w:rStyle w:val="b"/>
          <w:b/>
          <w:bCs/>
          <w:lang w:val="es" w:eastAsia="es"/>
        </w:rPr>
      </w:pPr>
      <w:r>
        <w:rPr>
          <w:rStyle w:val="b"/>
          <w:b/>
          <w:bCs/>
          <w:lang w:val="es" w:eastAsia="es"/>
        </w:rPr>
        <w:t>DISPOSICIÓN FINAL</w:t>
      </w:r>
    </w:p>
    <w:p>
      <w:pPr>
        <w:pStyle w:val="div"/>
        <w:rPr>
          <w:rStyle w:val="font"/>
          <w:lang w:val="es" w:eastAsia="es"/>
        </w:rPr>
      </w:pPr>
      <w:r>
        <w:rPr>
          <w:rStyle w:val="b"/>
          <w:b/>
          <w:bCs/>
          <w:lang w:val="es" w:eastAsia="es"/>
        </w:rPr>
        <w:t xml:space="preserve">Única.- </w:t>
      </w:r>
      <w:r>
        <w:rPr>
          <w:rStyle w:val="font"/>
          <w:lang w:val="es" w:eastAsia="es"/>
        </w:rPr>
        <w:t>La presente Ordenanza entrará en vigencia a partir de la fecha de su sanción, promulgación y publicación en el Registro Oficial, y en la página Web Institucional.</w:t>
      </w:r>
    </w:p>
    <w:p>
      <w:pPr>
        <w:pStyle w:val="p"/>
        <w:spacing w:before="240" w:after="240"/>
        <w:rPr>
          <w:rStyle w:val="font"/>
          <w:lang w:val="es" w:eastAsia="es"/>
        </w:rPr>
      </w:pPr>
      <w:r>
        <w:rPr>
          <w:rStyle w:val="font"/>
          <w:lang w:val="es" w:eastAsia="es"/>
        </w:rPr>
        <w:br/>
      </w:r>
      <w:r>
        <w:rPr>
          <w:rStyle w:val="font"/>
          <w:lang w:val="es" w:eastAsia="es"/>
        </w:rPr>
        <w:t>Dado en Ambato a los treinta días del mes de septiembre del año dos mil veinte.</w:t>
      </w:r>
    </w:p>
    <w:p>
      <w:pPr>
        <w:pStyle w:val="p"/>
        <w:pBdr>
          <w:top w:val="none" w:sz="0" w:space="5" w:color="auto"/>
          <w:left w:val="none" w:sz="0" w:space="0" w:color="auto"/>
          <w:bottom w:val="none" w:sz="0" w:space="2" w:color="auto"/>
          <w:right w:val="none" w:sz="0" w:space="0" w:color="auto"/>
        </w:pBdr>
        <w:spacing w:before="240" w:after="240"/>
        <w:rPr>
          <w:rStyle w:val="b"/>
          <w:b/>
          <w:bCs/>
          <w:lang w:val="es" w:eastAsia="es"/>
        </w:rPr>
      </w:pPr>
      <w:r>
        <w:rPr>
          <w:rStyle w:val="b"/>
          <w:b/>
          <w:bCs/>
          <w:lang w:val="es" w:eastAsia="es"/>
        </w:rPr>
        <w:br/>
      </w:r>
      <w:r>
        <w:rPr>
          <w:rStyle w:val="b"/>
          <w:b/>
          <w:bCs/>
          <w:lang w:val="es" w:eastAsia="es"/>
        </w:rPr>
        <w:t>FUENTES DE LA PRESENTE EDICIÓN DE LA ORDENANZA PARA LA REGULARIZACIÓN DE BIENES MOSTRENCOS DEL CANTÓN AMBATO</w:t>
      </w:r>
    </w:p>
    <w:p>
      <w:pPr>
        <w:pStyle w:val="p"/>
        <w:pBdr>
          <w:top w:val="none" w:sz="0" w:space="5" w:color="auto"/>
          <w:left w:val="none" w:sz="0" w:space="0" w:color="auto"/>
          <w:bottom w:val="none" w:sz="0" w:space="2" w:color="auto"/>
          <w:right w:val="none" w:sz="0" w:space="0" w:color="auto"/>
        </w:pBdr>
        <w:spacing w:before="240" w:after="240"/>
        <w:rPr>
          <w:rStyle w:val="font"/>
          <w:lang w:val="es" w:eastAsia="es"/>
        </w:rPr>
      </w:pPr>
      <w:r>
        <w:rPr>
          <w:rStyle w:val="font"/>
          <w:lang w:val="es" w:eastAsia="es"/>
        </w:rPr>
        <w:br/>
      </w:r>
      <w:r>
        <w:rPr>
          <w:rStyle w:val="font"/>
          <w:lang w:val="es" w:eastAsia="es"/>
        </w:rPr>
        <w:t>1.- Ordenanza s/n (Registro Oficial 326, 10-XI-2020).</w:t>
      </w:r>
    </w:p>
    <w:sectPr>
      <w:headerReference w:type="default" r:id="rId4"/>
      <w:footerReference w:type="default" r:id="rId5"/>
      <w:headerReference w:type="first" r:id="rId6"/>
      <w:pgMar w:header="400" w:footer="708"/>
      <w:cols w:space="708"/>
      <w:titlePg w:val="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879"/>
      <w:gridCol w:w="293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300" w:type="pct"/>
          <w:tcBorders>
            <w:top w:val="single" w:sz="4" w:space="0" w:color="FFFFFF"/>
            <w:left w:val="single" w:sz="4" w:space="0" w:color="FFFFFF"/>
            <w:bottom w:val="single" w:sz="4" w:space="0" w:color="FFFFFF"/>
            <w:right w:val="single" w:sz="4" w:space="0" w:color="FFFFFF"/>
          </w:tcBorders>
        </w:tcPr>
        <w:p>
          <w:pPr>
            <w:jc w:val="left"/>
            <w:rPr>
              <w:rFonts w:ascii="Arial" w:eastAsia="Arial" w:hAnsi="Arial" w:cs="Arial"/>
              <w:b/>
              <w:sz w:val="16"/>
            </w:rPr>
          </w:pPr>
          <w:r>
            <w:rPr>
              <w:rFonts w:ascii="Arial" w:eastAsia="Arial" w:hAnsi="Arial" w:cs="Arial"/>
              <w:b/>
              <w:sz w:val="16"/>
            </w:rPr>
            <w:t>https://edicioneslegales.com.ec/</w:t>
          </w:r>
        </w:p>
      </w:tc>
      <w:tc>
        <w:tcPr>
          <w:tcW w:w="1650" w:type="pct"/>
          <w:tcBorders>
            <w:top w:val="single" w:sz="4" w:space="0" w:color="FFFFFF"/>
            <w:left w:val="single" w:sz="4" w:space="0" w:color="FFFFFF"/>
            <w:bottom w:val="single" w:sz="4" w:space="0" w:color="FFFFFF"/>
            <w:right w:val="single" w:sz="4" w:space="0" w:color="FFFFFF"/>
          </w:tcBorders>
        </w:tcPr>
        <w:p>
          <w:pPr>
            <w:jc w:val="right"/>
            <w:rPr>
              <w:rFonts w:ascii="Arial" w:eastAsia="Arial" w:hAnsi="Arial" w:cs="Arial"/>
              <w:b/>
              <w:sz w:val="16"/>
            </w:rPr>
          </w:pPr>
          <w:r>
            <w:rPr>
              <w:rFonts w:ascii="Arial" w:eastAsia="Arial" w:hAnsi="Arial" w:cs="Arial"/>
              <w:b/>
              <w:sz w:val="16"/>
            </w:rPr>
            <w:t xml:space="preserve">Pág. </w:t>
          </w:r>
          <w:r>
            <w:rPr>
              <w:rFonts w:ascii="Arial" w:eastAsia="Arial" w:hAnsi="Arial" w:cs="Arial"/>
              <w:b/>
              <w:sz w:val="16"/>
            </w:rPr>
            <w:fldChar w:fldCharType="begin"/>
          </w:r>
          <w:r>
            <w:rPr>
              <w:rFonts w:ascii="Arial" w:eastAsia="Arial" w:hAnsi="Arial" w:cs="Arial"/>
              <w:b/>
              <w:sz w:val="16"/>
            </w:rPr>
            <w:instrText>PAGE</w:instrText>
          </w:r>
          <w:r>
            <w:rPr>
              <w:rFonts w:ascii="Arial" w:eastAsia="Arial" w:hAnsi="Arial" w:cs="Arial"/>
              <w:b/>
              <w:sz w:val="16"/>
            </w:rPr>
            <w:fldChar w:fldCharType="separate"/>
          </w:r>
          <w:r>
            <w:rPr>
              <w:rFonts w:ascii="Arial" w:eastAsia="Arial" w:hAnsi="Arial" w:cs="Arial"/>
              <w:b/>
              <w:sz w:val="16"/>
            </w:rPr>
            <w:fldChar w:fldCharType="end"/>
          </w:r>
          <w:r>
            <w:rPr>
              <w:rFonts w:ascii="Arial" w:eastAsia="Arial" w:hAnsi="Arial" w:cs="Arial"/>
              <w:b/>
              <w:sz w:val="16"/>
            </w:rPr>
            <w:t xml:space="preserve"> de </w:t>
          </w:r>
          <w:r>
            <w:rPr>
              <w:rFonts w:ascii="Arial" w:eastAsia="Arial" w:hAnsi="Arial" w:cs="Arial"/>
              <w:b/>
              <w:sz w:val="16"/>
            </w:rPr>
            <w:fldChar w:fldCharType="begin"/>
          </w:r>
          <w:r>
            <w:rPr>
              <w:rFonts w:ascii="Arial" w:eastAsia="Arial" w:hAnsi="Arial" w:cs="Arial"/>
              <w:b/>
              <w:sz w:val="16"/>
            </w:rPr>
            <w:instrText>NUMPAGES</w:instrText>
          </w:r>
          <w:r>
            <w:rPr>
              <w:rFonts w:ascii="Arial" w:eastAsia="Arial" w:hAnsi="Arial" w:cs="Arial"/>
              <w:b/>
              <w:sz w:val="16"/>
            </w:rPr>
            <w:fldChar w:fldCharType="separate"/>
          </w:r>
          <w:r>
            <w:rPr>
              <w:rFonts w:ascii="Arial" w:eastAsia="Arial" w:hAnsi="Arial" w:cs="Arial"/>
              <w:b/>
              <w:sz w:val="16"/>
            </w:rPr>
            <w:fldChar w:fldCharType="end"/>
          </w:r>
        </w:p>
      </w:tc>
    </w:tr>
    <w:tr>
      <w:tblPrEx>
        <w:tblW w:w="5000" w:type="pct"/>
        <w:tblCellMar>
          <w:left w:w="108" w:type="dxa"/>
          <w:right w:w="108" w:type="dxa"/>
        </w:tblCellMar>
      </w:tblPrEx>
      <w:tc>
        <w:tcPr>
          <w:tcW w:w="5000" w:type="pct"/>
          <w:gridSpan w:val="2"/>
          <w:tcBorders>
            <w:top w:val="single" w:sz="4" w:space="0" w:color="FFFFFF"/>
            <w:left w:val="single" w:sz="4" w:space="0" w:color="FFFFFF"/>
            <w:bottom w:val="single" w:sz="4" w:space="0" w:color="FFFFFF"/>
            <w:right w:val="single" w:sz="4" w:space="0" w:color="FFFFFF"/>
          </w:tcBorders>
        </w:tcPr>
        <w:p>
          <w:pPr>
            <w:jc w:val="center"/>
            <w:rPr>
              <w:rFonts w:ascii="Arial" w:eastAsia="Arial" w:hAnsi="Arial" w:cs="Arial"/>
              <w:b w:val="0"/>
              <w:sz w:val="12"/>
            </w:rPr>
          </w:pPr>
        </w:p>
        <w:p>
          <w:pPr>
            <w:jc w:val="center"/>
            <w:rPr>
              <w:rFonts w:ascii="Arial" w:eastAsia="Arial" w:hAnsi="Arial" w:cs="Arial"/>
              <w:b w:val="0"/>
              <w:sz w:val="12"/>
            </w:rPr>
          </w:pPr>
          <w:r>
            <w:rPr>
              <w:rFonts w:ascii="Arial" w:eastAsia="Arial" w:hAnsi="Arial" w:cs="Arial"/>
              <w:b w:val="0"/>
              <w:sz w:val="12"/>
            </w:rPr>
            <w:t>Todos los derechos reservados. Prohibida su reproducción parcial o total.</w:t>
          </w:r>
        </w:p>
        <w:p>
          <w:pPr>
            <w:jc w:val="center"/>
            <w:rPr>
              <w:rFonts w:ascii="Arial" w:eastAsia="Arial" w:hAnsi="Arial" w:cs="Arial"/>
              <w:b w:val="0"/>
              <w:sz w:val="12"/>
            </w:rPr>
          </w:pPr>
          <w:r>
            <w:rPr>
              <w:rFonts w:ascii="Arial" w:eastAsia="Arial" w:hAnsi="Arial" w:cs="Arial"/>
              <w:b w:val="0"/>
              <w:sz w:val="12"/>
            </w:rPr>
            <w:drawing>
              <wp:inline>
                <wp:extent cx="101587" cy="101587"/>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
                        <a:stretch>
                          <a:fillRect/>
                        </a:stretch>
                      </pic:blipFill>
                      <pic:spPr>
                        <a:xfrm>
                          <a:off x="0" y="0"/>
                          <a:ext cx="101587" cy="101587"/>
                        </a:xfrm>
                        <a:prstGeom prst="rect">
                          <a:avLst/>
                        </a:prstGeom>
                      </pic:spPr>
                    </pic:pic>
                  </a:graphicData>
                </a:graphic>
              </wp:inline>
            </w:drawing>
          </w:r>
          <w:r>
            <w:rPr>
              <w:rFonts w:ascii="Arial" w:eastAsia="Arial" w:hAnsi="Arial" w:cs="Arial"/>
              <w:b w:val="0"/>
              <w:sz w:val="12"/>
            </w:rPr>
            <w:t xml:space="preserve"> Piense en el medio ambiente. Imprima solo de ser necesario.</w:t>
          </w:r>
        </w:p>
      </w:tc>
    </w:tr>
  </w:tbl>
  <w:p>
    <w:pPr>
      <w:jc w:val="center"/>
      <w:rPr>
        <w:rFonts w:ascii="Arial" w:eastAsia="Arial" w:hAnsi="Arial" w:cs="Arial"/>
        <w:b w:val="0"/>
        <w:sz w:val="1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drawing>
        <wp:anchor simplePos="0" relativeHeight="251658240" behindDoc="0" locked="0" layoutInCell="1" allowOverlap="1">
          <wp:simplePos x="0" y="0"/>
          <wp:positionH relativeFrom="page">
            <wp:posOffset>5715000</wp:posOffset>
          </wp:positionH>
          <wp:positionV relativeFrom="page">
            <wp:posOffset>127000</wp:posOffset>
          </wp:positionV>
          <wp:extent cx="2032000" cy="508000"/>
          <wp:wrapThrough wrapText="bothSides">
            <wp:wrapPolygon>
              <wp:start x="-389" y="0"/>
              <wp:lineTo x="-389" y="21340"/>
              <wp:lineTo x="21795" y="21340"/>
              <wp:lineTo x="21795" y="0"/>
              <wp:lineTo x="-389" y="0"/>
            </wp:wrapPolygon>
          </wp:wrapThrough>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
                  <a:stretch>
                    <a:fillRect/>
                  </a:stretch>
                </pic:blipFill>
                <pic:spPr>
                  <a:xfrm>
                    <a:off x="0" y="0"/>
                    <a:ext cx="2032000" cy="508000"/>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Arial" w:eastAsia="Arial" w:hAnsi="Arial" w:cs="Arial"/>
        <w:b/>
        <w:sz w:val="20"/>
      </w:rPr>
    </w:pPr>
    <w:r>
      <w:rPr>
        <w:rFonts w:ascii="Arial" w:eastAsia="Arial" w:hAnsi="Arial" w:cs="Arial"/>
        <w:b/>
        <w:sz w:val="20"/>
      </w:rPr>
      <w:t>Ediciones Legales EDLE S.A.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jc w:val="both"/>
    </w:pPr>
    <w:rPr>
      <w:rFonts w:ascii="Calibri" w:eastAsia="Calibri" w:hAnsi="Calibri" w:cs="Calibri"/>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p">
    <w:name w:val="p"/>
    <w:basedOn w:val="Normal"/>
    <w:pPr>
      <w:jc w:val="both"/>
    </w:pPr>
    <w:rPr>
      <w:rFonts w:ascii="Calibri" w:eastAsia="Calibri" w:hAnsi="Calibri" w:cs="Calibri"/>
      <w:sz w:val="24"/>
      <w:szCs w:val="24"/>
    </w:rPr>
  </w:style>
  <w:style w:type="character" w:customStyle="1" w:styleId="b">
    <w:name w:val="b"/>
    <w:basedOn w:val="DefaultParagraphFont"/>
    <w:rPr>
      <w:rFonts w:ascii="Calibri" w:eastAsia="Calibri" w:hAnsi="Calibri" w:cs="Calibri"/>
      <w:sz w:val="24"/>
      <w:szCs w:val="24"/>
    </w:rPr>
  </w:style>
  <w:style w:type="character" w:customStyle="1" w:styleId="font">
    <w:name w:val="font"/>
    <w:basedOn w:val="DefaultParagraphFont"/>
    <w:rPr>
      <w:rFonts w:ascii="Calibri" w:eastAsia="Calibri" w:hAnsi="Calibri" w:cs="Calibri"/>
      <w:sz w:val="24"/>
      <w:szCs w:val="24"/>
    </w:rPr>
  </w:style>
  <w:style w:type="paragraph" w:customStyle="1" w:styleId="div">
    <w:name w:val="div"/>
    <w:basedOn w:val="Normal"/>
    <w:pPr>
      <w:pBdr>
        <w:top w:val="none" w:sz="0" w:space="5" w:color="auto"/>
        <w:bottom w:val="none" w:sz="0" w:space="2" w:color="auto"/>
      </w:pBdr>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theme" Target="theme/theme1.xml" /><Relationship Id="rId8"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