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Arial" w:hAnsi="Arial"/>
          <w:b/>
          <w:color w:val="0F2C3D"/>
          <w:sz w:val="40"/>
        </w:rPr>
        <w:t>PLANO DE DESENVOLVIMENTO DO PROJETO SIP-MA</w:t>
      </w:r>
    </w:p>
    <w:p>
      <w:pPr>
        <w:spacing w:after="360"/>
        <w:jc w:val="center"/>
      </w:pPr>
      <w:r>
        <w:rPr>
          <w:rFonts w:ascii="Arial" w:hAnsi="Arial"/>
          <w:color w:val="1E5E41"/>
          <w:sz w:val="22"/>
        </w:rPr>
        <w:t>Sistema de Informação do Patrimônio - Estado do Maranhão</w:t>
        <w:br/>
        <w:t>Relatório Geral de Engenharia de Software, Arquitetura Dual-Face, PostGIS e Testes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4F8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23232"/>
                <w:sz w:val="19"/>
              </w:rPr>
              <w:t>📌 DOCUMENTO DE ENTREGA ACADÊMICA / INSTITUCIONAL</w:t>
              <w:br/>
              <w:t>• Versão: 4.0 (Homologado Full-Stack: Backend, Frontend, PostGIS, PWA, ClamAV e RBAC 5 Perfis)</w:t>
              <w:br/>
              <w:t>• Stack Backend: Java 17, Spring Boot 3.5, Spring Security (Cookie HttpOnly + JWT/RBAC), ClamAV, PostgreSQL 15 + PostGIS</w:t>
              <w:br/>
              <w:t>• Stack Frontend: React 19, TypeScript 5 (strict), Vite 8, Tailwind CSS 3 (WCAG 2.1 AA), Leaflet (Clusters/Polígonos), IndexedDB + PWA</w:t>
              <w:br/>
              <w:t>• Estado de Qualidade: 77 Testes Automatizados no Backend (100% Sucesso) + Vitest + Cypress E2E + CI/CD GitHub Actions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Arial" w:hAnsi="Arial"/>
          <w:b/>
          <w:color w:val="0F2C3D"/>
          <w:sz w:val="28"/>
        </w:rPr>
        <w:t>1. Concepção, Visão Geral e Arquitetura Dual-Face</w:t>
      </w:r>
    </w:p>
    <w:p>
      <w:pPr>
        <w:spacing w:after="120" w:line="276" w:lineRule="auto"/>
      </w:pPr>
      <w:r>
        <w:rPr>
          <w:rFonts w:ascii="Arial" w:hAnsi="Arial"/>
          <w:b/>
          <w:color w:val="323232"/>
          <w:sz w:val="20"/>
        </w:rPr>
        <w:t xml:space="preserve">Contexto do Projeto: </w:t>
      </w:r>
      <w:r>
        <w:rPr>
          <w:rFonts w:ascii="Arial" w:hAnsi="Arial"/>
          <w:color w:val="323232"/>
          <w:sz w:val="20"/>
        </w:rPr>
        <w:t>O Sistema de Informação do Patrimônio do Estado do Maranhão (SIP-MA) é uma plataforma governamental em escala estadual concebida para mapear, fiscalizar, salvaguardar e catalogar o patrimônio cultural material (imóveis e casarões), imaterial (saberes e folclore) e arqueológico nos 217 municípios maranhenses.</w:t>
      </w:r>
    </w:p>
    <w:p>
      <w:pPr>
        <w:spacing w:after="120" w:line="276" w:lineRule="auto"/>
      </w:pPr>
      <w:r>
        <w:rPr>
          <w:rFonts w:ascii="Arial" w:hAnsi="Arial"/>
          <w:b/>
          <w:color w:val="323232"/>
          <w:sz w:val="20"/>
        </w:rPr>
        <w:t xml:space="preserve">Arquitetura Dual-Face: </w:t>
      </w:r>
      <w:r>
        <w:rPr>
          <w:rFonts w:ascii="Arial" w:hAnsi="Arial"/>
          <w:color w:val="323232"/>
          <w:sz w:val="20"/>
        </w:rPr>
        <w:t>Para mitigar os riscos de segurança, vulnerabilidade arqueológica e dispersão de dados, o SIP-MA adota a Arquitetura Dual-Face, estabelecendo uma clara segregação de responsabilidade e privilégios entre o público geral e a equipe técnica.</w:t>
      </w:r>
    </w:p>
    <w:p>
      <w:pPr>
        <w:spacing w:after="120" w:line="276" w:lineRule="auto"/>
      </w:pPr>
      <w:r>
        <w:rPr>
          <w:rFonts w:ascii="Arial" w:hAnsi="Arial"/>
          <w:b/>
          <w:color w:val="323232"/>
          <w:sz w:val="20"/>
        </w:rPr>
        <w:t xml:space="preserve">• Portal Público do Cidadão: </w:t>
      </w:r>
      <w:r>
        <w:rPr>
          <w:rFonts w:ascii="Arial" w:hAnsi="Arial"/>
          <w:color w:val="323232"/>
          <w:sz w:val="20"/>
        </w:rPr>
        <w:t>Acesso leve, acessível (WCAG 2.1 AA) e anônimo com mapa interativo estadual (clusterização espacial e alternância OSM/Satélite Esri), catálogo paginado de bens publicados e tombados, recortes temáticos (Imaterial e Arqueológico com coordenadas generalizadas pela Lei nº 3.924/1961), ficha técnica pública e Ouvidoria Cidadã (Reportar Inconsistência) com geração de protocolo.</w:t>
      </w:r>
    </w:p>
    <w:p>
      <w:pPr>
        <w:spacing w:after="120" w:line="276" w:lineRule="auto"/>
      </w:pPr>
      <w:r>
        <w:rPr>
          <w:rFonts w:ascii="Arial" w:hAnsi="Arial"/>
          <w:b/>
          <w:color w:val="323232"/>
          <w:sz w:val="20"/>
        </w:rPr>
        <w:t xml:space="preserve">• Painel Administrativo de Peritos: </w:t>
      </w:r>
      <w:r>
        <w:rPr>
          <w:rFonts w:ascii="Arial" w:hAnsi="Arial"/>
          <w:color w:val="323232"/>
          <w:sz w:val="20"/>
        </w:rPr>
        <w:t>Acesso restrito via Sessão Híbrida OWASP (Refresh Token em Cookie HttpOnly SameSite=Strict + Access Token em memória RAM) com segregação em 5 perfis RBAC (ADMIN, TECNICO, JURIDICO, CONSULTOR, LEITOR). Inclui Dashboard executivo, Wizard em 10 etapas com auto-save em IndexedDB, Tombamento e Proteção, Planos de Salvaguarda (RN02), Vistorias com fila offline PWA, Módulo Jurídico CNJ, Upload com SHA-256 + Antivírus ClamAV, Auditoria, Usuários e Configurações.</w:t>
      </w:r>
    </w:p>
    <w:p>
      <w:pPr>
        <w:keepNext/>
        <w:spacing w:before="320" w:after="120"/>
      </w:pPr>
      <w:r>
        <w:rPr>
          <w:rFonts w:ascii="Arial" w:hAnsi="Arial"/>
          <w:b/>
          <w:color w:val="0F2C3D"/>
          <w:sz w:val="28"/>
        </w:rPr>
        <w:t>2. Mapeamento dos Requisitos Funcionais e Estado de Implementação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0F2C3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Requisito / Funcionalidade</w:t>
            </w:r>
          </w:p>
        </w:tc>
        <w:tc>
          <w:tcPr>
            <w:tcW w:type="dxa" w:w="4608"/>
            <w:shd w:val="clear" w:color="auto" w:fill="0F2C3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Descrição Técnica da Solução</w:t>
            </w:r>
          </w:p>
        </w:tc>
        <w:tc>
          <w:tcPr>
            <w:tcW w:type="dxa" w:w="2160"/>
            <w:shd w:val="clear" w:color="auto" w:fill="0F2C3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Status de Implementação</w:t>
            </w:r>
          </w:p>
        </w:tc>
      </w:tr>
      <w:tr>
        <w:tc>
          <w:tcPr>
            <w:tcW w:type="dxa" w:w="2592"/>
            <w:shd w:val="clear" w:color="auto"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23232"/>
                <w:sz w:val="17"/>
              </w:rPr>
              <w:t>RF01 - Sessão Híbrida OWASP e RBAC</w:t>
            </w:r>
          </w:p>
        </w:tc>
        <w:tc>
          <w:tcPr>
            <w:tcW w:type="dxa" w:w="4608"/>
            <w:shd w:val="clear" w:color="auto"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23232"/>
                <w:sz w:val="17"/>
              </w:rPr>
              <w:t>Autenticação com Refresh Token em Cookie HttpOnly (SameSite=Strict), Access Token em RAM e 5 perfis (ADMIN, TECNICO, JURIDICO, CONSULTOR, LEITOR).</w:t>
            </w:r>
          </w:p>
        </w:tc>
        <w:tc>
          <w:tcPr>
            <w:tcW w:type="dxa" w:w="2160"/>
            <w:shd w:val="clear" w:color="auto"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5E41"/>
                <w:sz w:val="17"/>
              </w:rPr>
              <w:t>100% Concluído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23232"/>
                <w:sz w:val="17"/>
              </w:rPr>
              <w:t>RF02 - Verificação Declarativa 2FA</w:t>
            </w:r>
          </w:p>
        </w:tc>
        <w:tc>
          <w:tcPr>
            <w:tcW w:type="dxa" w:w="460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23232"/>
                <w:sz w:val="17"/>
              </w:rPr>
              <w:t>Flag dois_fatores na entidade Usuario acionando desafio na camada de autenticação.</w:t>
            </w:r>
          </w:p>
        </w:tc>
        <w:tc>
          <w:tcPr>
            <w:tcW w:type="dxa" w:w="216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5E41"/>
                <w:sz w:val="17"/>
              </w:rPr>
              <w:t>100% Concluído</w:t>
            </w:r>
          </w:p>
        </w:tc>
      </w:tr>
      <w:tr>
        <w:tc>
          <w:tcPr>
            <w:tcW w:type="dxa" w:w="2592"/>
            <w:shd w:val="clear" w:color="auto"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23232"/>
                <w:sz w:val="17"/>
              </w:rPr>
              <w:t>RF03 - Mapeamento Organizacional</w:t>
            </w:r>
          </w:p>
        </w:tc>
        <w:tc>
          <w:tcPr>
            <w:tcW w:type="dxa" w:w="4608"/>
            <w:shd w:val="clear" w:color="auto"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23232"/>
                <w:sz w:val="17"/>
              </w:rPr>
              <w:t>Cadastro de entidades administrativas vinculadas a municípios maranhenses.</w:t>
            </w:r>
          </w:p>
        </w:tc>
        <w:tc>
          <w:tcPr>
            <w:tcW w:type="dxa" w:w="2160"/>
            <w:shd w:val="clear" w:color="auto"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5E41"/>
                <w:sz w:val="17"/>
              </w:rPr>
              <w:t>100% Concluído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23232"/>
                <w:sz w:val="17"/>
              </w:rPr>
              <w:t>RF04 - Wizard 10 Etapas + IndexedDB</w:t>
            </w:r>
          </w:p>
        </w:tc>
        <w:tc>
          <w:tcPr>
            <w:tcW w:type="dxa" w:w="460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23232"/>
                <w:sz w:val="17"/>
              </w:rPr>
              <w:t>Formulário guiado em React com dados dinâmicos JSONB e auto-save resiliente de rascunhos no IndexedDB.</w:t>
            </w:r>
          </w:p>
        </w:tc>
        <w:tc>
          <w:tcPr>
            <w:tcW w:type="dxa" w:w="216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5E41"/>
                <w:sz w:val="17"/>
              </w:rPr>
              <w:t>100% Concluído</w:t>
            </w:r>
          </w:p>
        </w:tc>
      </w:tr>
      <w:tr>
        <w:tc>
          <w:tcPr>
            <w:tcW w:type="dxa" w:w="2592"/>
            <w:shd w:val="clear" w:color="auto"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23232"/>
                <w:sz w:val="17"/>
              </w:rPr>
              <w:t>RF05 - GIS Avançado, Clusters e Polígonos</w:t>
            </w:r>
          </w:p>
        </w:tc>
        <w:tc>
          <w:tcPr>
            <w:tcW w:type="dxa" w:w="4608"/>
            <w:shd w:val="clear" w:color="auto"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23232"/>
                <w:sz w:val="17"/>
              </w:rPr>
              <w:t>Clusterização espacial adaptativa, desenho/exportação de poligonais GeoJSON (SIRGAS 2000) e basemap Satélite Esri.</w:t>
            </w:r>
          </w:p>
        </w:tc>
        <w:tc>
          <w:tcPr>
            <w:tcW w:type="dxa" w:w="2160"/>
            <w:shd w:val="clear" w:color="auto"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5E41"/>
                <w:sz w:val="17"/>
              </w:rPr>
              <w:t>100% Concluído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23232"/>
                <w:sz w:val="17"/>
              </w:rPr>
              <w:t>RF06 - Segregação Arqueológica</w:t>
            </w:r>
          </w:p>
        </w:tc>
        <w:tc>
          <w:tcPr>
            <w:tcW w:type="dxa" w:w="460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23232"/>
                <w:sz w:val="17"/>
              </w:rPr>
              <w:t>Ocultamento de coordenadas exatas de sítios confidenciais na camada pública (consulta_publica).</w:t>
            </w:r>
          </w:p>
        </w:tc>
        <w:tc>
          <w:tcPr>
            <w:tcW w:type="dxa" w:w="216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5E41"/>
                <w:sz w:val="17"/>
              </w:rPr>
              <w:t>100% Concluído</w:t>
            </w:r>
          </w:p>
        </w:tc>
      </w:tr>
      <w:tr>
        <w:tc>
          <w:tcPr>
            <w:tcW w:type="dxa" w:w="2592"/>
            <w:shd w:val="clear" w:color="auto"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23232"/>
                <w:sz w:val="17"/>
              </w:rPr>
              <w:t>RF07 - Tombamento e Proteção Legal</w:t>
            </w:r>
          </w:p>
        </w:tc>
        <w:tc>
          <w:tcPr>
            <w:tcW w:type="dxa" w:w="4608"/>
            <w:shd w:val="clear" w:color="auto"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23232"/>
                <w:sz w:val="17"/>
              </w:rPr>
              <w:t>Consulta e registro de processos de proteção, livros de tombo e homologação automática do bem cultural.</w:t>
            </w:r>
          </w:p>
        </w:tc>
        <w:tc>
          <w:tcPr>
            <w:tcW w:type="dxa" w:w="2160"/>
            <w:shd w:val="clear" w:color="auto"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5E41"/>
                <w:sz w:val="17"/>
              </w:rPr>
              <w:t>100% Concluído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23232"/>
                <w:sz w:val="17"/>
              </w:rPr>
              <w:t>RF08 - Vistorias e Fila Offline PWA</w:t>
            </w:r>
          </w:p>
        </w:tc>
        <w:tc>
          <w:tcPr>
            <w:tcW w:type="dxa" w:w="460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23232"/>
                <w:sz w:val="17"/>
              </w:rPr>
              <w:t>Laudos periciais com matriz de patologias e fila offline em IndexedDB sincronizada via Service Worker PWA.</w:t>
            </w:r>
          </w:p>
        </w:tc>
        <w:tc>
          <w:tcPr>
            <w:tcW w:type="dxa" w:w="216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5E41"/>
                <w:sz w:val="17"/>
              </w:rPr>
              <w:t>100% Concluído</w:t>
            </w:r>
          </w:p>
        </w:tc>
      </w:tr>
      <w:tr>
        <w:tc>
          <w:tcPr>
            <w:tcW w:type="dxa" w:w="2592"/>
            <w:shd w:val="clear" w:color="auto"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23232"/>
                <w:sz w:val="17"/>
              </w:rPr>
              <w:t>RF09 - Módulo Jurídico N:N e CNJ</w:t>
            </w:r>
          </w:p>
        </w:tc>
        <w:tc>
          <w:tcPr>
            <w:tcW w:type="dxa" w:w="4608"/>
            <w:shd w:val="clear" w:color="auto"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23232"/>
                <w:sz w:val="17"/>
              </w:rPr>
              <w:t>Validação de formato CNJ, relacionamento N:N (ProcessoBem) e timeline de movimentações.</w:t>
            </w:r>
          </w:p>
        </w:tc>
        <w:tc>
          <w:tcPr>
            <w:tcW w:type="dxa" w:w="2160"/>
            <w:shd w:val="clear" w:color="auto"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5E41"/>
                <w:sz w:val="17"/>
              </w:rPr>
              <w:t>100% Concluído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23232"/>
                <w:sz w:val="17"/>
              </w:rPr>
              <w:t>RF10 - Upload SHA-256 e Antivírus ClamAV</w:t>
            </w:r>
          </w:p>
        </w:tc>
        <w:tc>
          <w:tcPr>
            <w:tcW w:type="dxa" w:w="460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23232"/>
                <w:sz w:val="17"/>
              </w:rPr>
              <w:t>Checksum SHA-256 via Web Crypto API, StorageService polimórfico e varredura assíncrona via ClamAV (zINSTREAM).</w:t>
            </w:r>
          </w:p>
        </w:tc>
        <w:tc>
          <w:tcPr>
            <w:tcW w:type="dxa" w:w="216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5E41"/>
                <w:sz w:val="17"/>
              </w:rPr>
              <w:t>100% Concluído</w:t>
            </w:r>
          </w:p>
        </w:tc>
      </w:tr>
      <w:tr>
        <w:tc>
          <w:tcPr>
            <w:tcW w:type="dxa" w:w="2592"/>
            <w:shd w:val="clear" w:color="auto"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23232"/>
                <w:sz w:val="17"/>
              </w:rPr>
              <w:t>RF11 - Linha do Tempo Histórica</w:t>
            </w:r>
          </w:p>
        </w:tc>
        <w:tc>
          <w:tcPr>
            <w:tcW w:type="dxa" w:w="4608"/>
            <w:shd w:val="clear" w:color="auto"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23232"/>
                <w:sz w:val="17"/>
              </w:rPr>
              <w:t>Cronologia de intervenções, reformas e restaurações registradas na entidade EventoBem.</w:t>
            </w:r>
          </w:p>
        </w:tc>
        <w:tc>
          <w:tcPr>
            <w:tcW w:type="dxa" w:w="2160"/>
            <w:shd w:val="clear" w:color="auto"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5E41"/>
                <w:sz w:val="17"/>
              </w:rPr>
              <w:t>100% Concluído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23232"/>
                <w:sz w:val="17"/>
              </w:rPr>
              <w:t>RF12 - Salvaguarda Imaterial (RN02)</w:t>
            </w:r>
          </w:p>
        </w:tc>
        <w:tc>
          <w:tcPr>
            <w:tcW w:type="dxa" w:w="460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23232"/>
                <w:sz w:val="17"/>
              </w:rPr>
              <w:t>Cadastro e monitoramento de planos de salvaguarda com validação estrita da Regra RN02 (exclusivo para bens IMATERIAL).</w:t>
            </w:r>
          </w:p>
        </w:tc>
        <w:tc>
          <w:tcPr>
            <w:tcW w:type="dxa" w:w="216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5E41"/>
                <w:sz w:val="17"/>
              </w:rPr>
              <w:t>100% Concluído</w:t>
            </w:r>
          </w:p>
        </w:tc>
      </w:tr>
      <w:tr>
        <w:tc>
          <w:tcPr>
            <w:tcW w:type="dxa" w:w="2592"/>
            <w:shd w:val="clear" w:color="auto"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23232"/>
                <w:sz w:val="17"/>
              </w:rPr>
              <w:t>RF13 - Trilha de Auditoria Assíncrona</w:t>
            </w:r>
          </w:p>
        </w:tc>
        <w:tc>
          <w:tcPr>
            <w:tcW w:type="dxa" w:w="4608"/>
            <w:shd w:val="clear" w:color="auto"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23232"/>
                <w:sz w:val="17"/>
              </w:rPr>
              <w:t>Eventos de domínio pós-commit (AuditoriaEventListener) gravando snapshots em JSONB.</w:t>
            </w:r>
          </w:p>
        </w:tc>
        <w:tc>
          <w:tcPr>
            <w:tcW w:type="dxa" w:w="2160"/>
            <w:shd w:val="clear" w:color="auto"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5E41"/>
                <w:sz w:val="17"/>
              </w:rPr>
              <w:t>100% Concluído</w:t>
            </w:r>
          </w:p>
        </w:tc>
      </w:tr>
      <w:tr>
        <w:tc>
          <w:tcPr>
            <w:tcW w:type="dxa" w:w="2592"/>
            <w:shd w:val="clear" w:color="auto"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23232"/>
                <w:sz w:val="17"/>
              </w:rPr>
              <w:t>RF14 - Ouvidoria e Triagem Técnica</w:t>
            </w:r>
          </w:p>
        </w:tc>
        <w:tc>
          <w:tcPr>
            <w:tcW w:type="dxa" w:w="4608"/>
            <w:shd w:val="clear" w:color="auto"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23232"/>
                <w:sz w:val="17"/>
              </w:rPr>
              <w:t>Reporte público de inconsistências por Código Institucional ou UUID com protocolo e triagem RBAC (ABERTO, EM_ANALISE, RESOLVIDO).</w:t>
            </w:r>
          </w:p>
        </w:tc>
        <w:tc>
          <w:tcPr>
            <w:tcW w:type="dxa" w:w="2160"/>
            <w:shd w:val="clear" w:color="auto"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5E41"/>
                <w:sz w:val="17"/>
              </w:rPr>
              <w:t>100% Concluído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23232"/>
                <w:sz w:val="17"/>
              </w:rPr>
              <w:t>RF15 - Acessibilidade WCAG 2.1 AA e CI/CD</w:t>
            </w:r>
          </w:p>
        </w:tc>
        <w:tc>
          <w:tcPr>
            <w:tcW w:type="dxa" w:w="460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23232"/>
                <w:sz w:val="17"/>
              </w:rPr>
              <w:t>Portal público adequado à WCAG 2.1 AA, suíte E2E Cypress e pipeline de integração contínua no GitHub Actions.</w:t>
            </w:r>
          </w:p>
        </w:tc>
        <w:tc>
          <w:tcPr>
            <w:tcW w:type="dxa" w:w="216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5E41"/>
                <w:sz w:val="17"/>
              </w:rPr>
              <w:t>100% Concluído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rFonts w:ascii="Arial" w:hAnsi="Arial"/>
          <w:b/>
          <w:color w:val="0F2C3D"/>
          <w:sz w:val="28"/>
        </w:rPr>
        <w:t>3. Modelagem Física de Dados, PostGIS e Eventos</w:t>
      </w:r>
    </w:p>
    <w:p>
      <w:pPr>
        <w:spacing w:after="120" w:line="276" w:lineRule="auto"/>
      </w:pPr>
      <w:r>
        <w:rPr>
          <w:rFonts w:ascii="Arial" w:hAnsi="Arial"/>
          <w:b/>
          <w:color w:val="323232"/>
          <w:sz w:val="20"/>
        </w:rPr>
        <w:t xml:space="preserve">Modelo Espacial Relacional: </w:t>
      </w:r>
      <w:r>
        <w:rPr>
          <w:rFonts w:ascii="Arial" w:hAnsi="Arial"/>
          <w:color w:val="323232"/>
          <w:sz w:val="20"/>
        </w:rPr>
        <w:t>A camada de dados do SIP-MA é composta por 15 entidades relacionais e geoespaciais totalmente migradas via Flyway (V1__criar_schema_sipma.sql). A arquitetura combina chaves primárias universais (UUIDv4), colunas nativas de geometria do PostGIS (SRID 4674 / EPSG:4326) e colunas híbridas em JSONB.</w:t>
      </w:r>
    </w:p>
    <w:p>
      <w:pPr>
        <w:spacing w:after="120" w:line="276" w:lineRule="auto"/>
      </w:pPr>
      <w:r>
        <w:rPr>
          <w:rFonts w:ascii="Arial" w:hAnsi="Arial"/>
          <w:b/>
          <w:color w:val="323232"/>
          <w:sz w:val="20"/>
        </w:rPr>
        <w:t xml:space="preserve">Padrão Storage Polimórfico: </w:t>
      </w:r>
      <w:r>
        <w:rPr>
          <w:rFonts w:ascii="Arial" w:hAnsi="Arial"/>
          <w:color w:val="323232"/>
          <w:sz w:val="20"/>
        </w:rPr>
        <w:t>Para garantir zero sobrecarga de armazenamento de binários no banco de dados (Zero Bytea), o sistema implementa o padrão Strategy no StorageService. Os arquivos físicos são direcionados para repositórios isolados (S3/Local) e o PostgreSQL armazena apenas a URL e o checksum SHA-256 do documento.</w:t>
      </w:r>
    </w:p>
    <w:p>
      <w:pPr>
        <w:keepNext/>
        <w:spacing w:before="320" w:after="120"/>
      </w:pPr>
      <w:r>
        <w:rPr>
          <w:rFonts w:ascii="Arial" w:hAnsi="Arial"/>
          <w:b/>
          <w:color w:val="0F2C3D"/>
          <w:sz w:val="28"/>
        </w:rPr>
        <w:t>4. Execução das 4 Sprints do Ecossistema</w:t>
      </w:r>
    </w:p>
    <w:p>
      <w:pPr>
        <w:spacing w:after="120" w:line="276" w:lineRule="auto"/>
      </w:pPr>
      <w:r>
        <w:rPr>
          <w:rFonts w:ascii="Arial" w:hAnsi="Arial"/>
          <w:b/>
          <w:color w:val="323232"/>
          <w:sz w:val="20"/>
        </w:rPr>
        <w:t xml:space="preserve">Sprint 1 (Fundações e Segurança OWASP): </w:t>
      </w:r>
      <w:r>
        <w:rPr>
          <w:rFonts w:ascii="Arial" w:hAnsi="Arial"/>
          <w:color w:val="323232"/>
          <w:sz w:val="20"/>
        </w:rPr>
        <w:t>Setup do PostGIS, Flyway, Spring Security JWT com Cookie HttpOnly (SameSite=Strict) e 5 perfis RBAC. No frontend, Vite + React 19 + TypeScript + Tailwind, cliente Axios com Access Token em memória, silent refresh e ProtectedRoute.</w:t>
      </w:r>
    </w:p>
    <w:p>
      <w:pPr>
        <w:spacing w:after="120" w:line="276" w:lineRule="auto"/>
      </w:pPr>
      <w:r>
        <w:rPr>
          <w:rFonts w:ascii="Arial" w:hAnsi="Arial"/>
          <w:b/>
          <w:color w:val="323232"/>
          <w:sz w:val="20"/>
        </w:rPr>
        <w:t xml:space="preserve">Sprint 2 (Geoprocessamento e Acervo Público): </w:t>
      </w:r>
      <w:r>
        <w:rPr>
          <w:rFonts w:ascii="Arial" w:hAnsi="Arial"/>
          <w:color w:val="323232"/>
          <w:sz w:val="20"/>
        </w:rPr>
        <w:t>Endpoints de usuários, organizações, municípios e ouvidoria pública. No frontend, mapa interativo Leaflet com clusterização espacial, alternância OSM/Satélite, desenho de poligonais GeoJSON, acervo público e proteção arqueológica.</w:t>
      </w:r>
    </w:p>
    <w:p>
      <w:pPr>
        <w:spacing w:after="120" w:line="276" w:lineRule="auto"/>
      </w:pPr>
      <w:r>
        <w:rPr>
          <w:rFonts w:ascii="Arial" w:hAnsi="Arial"/>
          <w:b/>
          <w:color w:val="323232"/>
          <w:sz w:val="20"/>
        </w:rPr>
        <w:t xml:space="preserve">Sprint 3 (Core Patrimonial, PWA e ClamAV): </w:t>
      </w:r>
      <w:r>
        <w:rPr>
          <w:rFonts w:ascii="Arial" w:hAnsi="Arial"/>
          <w:color w:val="323232"/>
          <w:sz w:val="20"/>
        </w:rPr>
        <w:t>APIs de bens culturais, tombamento/proteção, vistorias com patologias e upload com antivírus ClamAV. No frontend, Wizard em 10 etapas com auto-save IndexedDB, fila offline PWA de vistorias e FileUploadZone com SHA-256.</w:t>
      </w:r>
    </w:p>
    <w:p>
      <w:pPr>
        <w:spacing w:after="120" w:line="276" w:lineRule="auto"/>
      </w:pPr>
      <w:r>
        <w:rPr>
          <w:rFonts w:ascii="Arial" w:hAnsi="Arial"/>
          <w:b/>
          <w:color w:val="323232"/>
          <w:sz w:val="20"/>
        </w:rPr>
        <w:t xml:space="preserve">Sprint 4 (Jurídico, Salvaguarda, WCAG e CI/CD): </w:t>
      </w:r>
      <w:r>
        <w:rPr>
          <w:rFonts w:ascii="Arial" w:hAnsi="Arial"/>
          <w:color w:val="323232"/>
          <w:sz w:val="20"/>
        </w:rPr>
        <w:t>Módulo Jurídico N:N com validação CNJ, planos de salvaguarda imaterial (RN02), auditoria assíncrona pós-commit, adequação WCAG 2.1 AA, suíte E2E Cypress e pipeline CI/CD no GitHub Actions.</w:t>
      </w:r>
    </w:p>
    <w:p>
      <w:pPr>
        <w:keepNext/>
        <w:spacing w:before="320" w:after="120"/>
      </w:pPr>
      <w:r>
        <w:rPr>
          <w:rFonts w:ascii="Arial" w:hAnsi="Arial"/>
          <w:b/>
          <w:color w:val="0F2C3D"/>
          <w:sz w:val="28"/>
        </w:rPr>
        <w:t>5. Estratégia de Qualidade e Suíte de Testes Automatizados</w:t>
      </w:r>
    </w:p>
    <w:p>
      <w:pPr>
        <w:spacing w:after="120" w:line="276" w:lineRule="auto"/>
      </w:pPr>
      <w:r>
        <w:rPr>
          <w:rFonts w:ascii="Arial" w:hAnsi="Arial"/>
          <w:b/>
          <w:color w:val="323232"/>
          <w:sz w:val="20"/>
        </w:rPr>
        <w:t xml:space="preserve">Status da Suíte: </w:t>
      </w:r>
      <w:r>
        <w:rPr>
          <w:rFonts w:ascii="Arial" w:hAnsi="Arial"/>
          <w:color w:val="323232"/>
          <w:sz w:val="20"/>
        </w:rPr>
        <w:t>O ecossistema possui uma suíte completa composta por 77 testes automatizados no backend Spring Boot (100% de aprovação), cobrindo serviços de domínio, segurança JWT/HttpOnly, scanner antivírus ClamAV/EICAR, controladores MockMvc e persistência geoespacial. No frontend, conta com testes unitários Vitest (formatadores, clusterização/polígonos GeoJSON e banco local IndexedDB), suíte End-to-End Cypress (fluxos do cidadão e do perito), linter Oxlint, build estrito Vite e pipeline CI/CD no GitHub Actions.</w:t>
      </w:r>
    </w:p>
    <w:p>
      <w:pPr>
        <w:keepNext/>
        <w:spacing w:before="320" w:after="120"/>
      </w:pPr>
      <w:r>
        <w:rPr>
          <w:rFonts w:ascii="Arial" w:hAnsi="Arial"/>
          <w:b/>
          <w:color w:val="0F2C3D"/>
          <w:sz w:val="28"/>
        </w:rPr>
        <w:t>6. Etapas Avançadas do Roadmap Implementadas e Homologadas</w:t>
      </w:r>
    </w:p>
    <w:p>
      <w:pPr>
        <w:spacing w:after="120" w:line="276" w:lineRule="auto"/>
      </w:pPr>
      <w:r>
        <w:rPr>
          <w:rFonts w:ascii="Arial" w:hAnsi="Arial"/>
          <w:b/>
          <w:color w:val="323232"/>
          <w:sz w:val="20"/>
        </w:rPr>
        <w:t xml:space="preserve">1. Hardening OWASP e Antivírus ClamAV (Concluído): </w:t>
      </w:r>
      <w:r>
        <w:rPr>
          <w:rFonts w:ascii="Arial" w:hAnsi="Arial"/>
          <w:color w:val="323232"/>
          <w:sz w:val="20"/>
        </w:rPr>
        <w:t>Sessão migrada para Refresh Token em Cookie HttpOnly (SameSite=Strict) com Access Token exclusivamente em memória RAM (Zero Token em localStorage) e varredura assíncrona de uploads via protocolo TCP zINSTREAM do daemon ClamAV com bloqueio automático de arquivos infectados.</w:t>
      </w:r>
    </w:p>
    <w:p>
      <w:pPr>
        <w:spacing w:after="120" w:line="276" w:lineRule="auto"/>
      </w:pPr>
      <w:r>
        <w:rPr>
          <w:rFonts w:ascii="Arial" w:hAnsi="Arial"/>
          <w:b/>
          <w:color w:val="323232"/>
          <w:sz w:val="20"/>
        </w:rPr>
        <w:t xml:space="preserve">2. Resiliência e Operação Offline PWA (Concluído): </w:t>
      </w:r>
      <w:r>
        <w:rPr>
          <w:rFonts w:ascii="Arial" w:hAnsi="Arial"/>
          <w:color w:val="323232"/>
          <w:sz w:val="20"/>
        </w:rPr>
        <w:t>Persistência local nativa via IndexedDB (sipma_offline_db) para auto-save de rascunhos no Wizard de 10 etapas e fila offline de laudos de vistoria em campo sincronizada automaticamente via Service Worker PWA.</w:t>
      </w:r>
    </w:p>
    <w:p>
      <w:pPr>
        <w:spacing w:after="120" w:line="276" w:lineRule="auto"/>
      </w:pPr>
      <w:r>
        <w:rPr>
          <w:rFonts w:ascii="Arial" w:hAnsi="Arial"/>
          <w:b/>
          <w:color w:val="323232"/>
          <w:sz w:val="20"/>
        </w:rPr>
        <w:t xml:space="preserve">3. Geoprocessamento Avançado, Acessibilidade e RBAC (Concluído): </w:t>
      </w:r>
      <w:r>
        <w:rPr>
          <w:rFonts w:ascii="Arial" w:hAnsi="Arial"/>
          <w:color w:val="323232"/>
          <w:sz w:val="20"/>
        </w:rPr>
        <w:t>Clusterização espacial adaptativa de marcadores por zoom, desenho e exportação de poligonais de tombamento em GeoJSON (SIRGAS 2000 / EPSG:4326), alternância entre Mapa Vetorial (OSM) e Satélite (Esri), adequação WCAG 2.1 AA e homologação completa dos 5 perfis RBAC.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878"/>
        <w:sz w:val="17"/>
      </w:rPr>
      <w:t>Sistema de Informação do Patrimônio - Maranhão | Documento Oficial de Entrega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7"/>
      </w:rPr>
      <w:t>SIP-MA | Plano de Desenvolvimento para Entrega Acadêmica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