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42"/>
        <w:gridCol w:w="2148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4.061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subjetiva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(0,2%)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Media-alta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(2,1%)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1.009 (24,9%)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Media-baja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(16,8%)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 (45,3%)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(10,7%)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encuestado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 (26,7%)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(24,2%)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(2,6%)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(14,8%)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 (15,7%)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 (16,1%)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Clase origen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I+II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(17,4%)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(11,0%)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(10,5%)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 (18,0%)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V+VI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964 (25,0%)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697 (18,1%)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Nivel educativo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 (15,5%)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Secundario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1.976 (48,7%)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1.455 (35,8%)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1.971 (48,5%)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2.090 (51,5%)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Condición laboral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2.157 (53,1%)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 (46,9%)</w:t>
            </w:r>
          </w:p>
        </w:tc>
      </w:tr>
      <w:tr>
        <w:trPr>
          <w:trHeight w:val="57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Afiliación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 (80,1%)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Sindicalizado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 (19,9%)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 de actividad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Act. primarias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(1,2%)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Adm. pública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(6,5%)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Comercio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658 (17,3%)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Construcción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(7,8%)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Industria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(9,9%)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2.182 (57,3%)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Posicionamiento político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Kirchnerismo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(19,7%)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Peronismo no 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(6,4%)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UCR/PRO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(12,2%)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Izquierda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 (8,3%)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Libertarios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(2,4%)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2.063 (50,9%)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(12,6)</w:t>
            </w:r>
          </w:p>
        </w:tc>
      </w:tr>
      <w:tr>
        <w:trPr>
          <w:trHeight w:val="617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Ingreso per cápita familiar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37.104 (37.189,7)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2023-08-30T12:44:35Z</dcterms:modified>
  <cp:category/>
</cp:coreProperties>
</file>