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2148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subjetiva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(0,2%)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Media-alta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(2,1%)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 (24,9%)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Media-baja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(16,8%)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 (45,3%)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(10,7%)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encuestado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(26,7%)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(24,2%)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(2,6%)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(14,8%)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 (15,7%)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 (16,1%)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origen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(11,0%)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(10,5%)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(18,0%)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 (25,0%)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(18,1%)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(15,5%)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 (48,7%)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1.455 (35,8%)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 (48,5%)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 (51,5%)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Condición laboral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 (53,1%)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 (46,9%)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Afiliación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 (80,1%)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(19,9%)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 de actividad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(1,2%)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(6,5%)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(17,3%)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(7,8%)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(9,9%)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 (57,3%)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Posicionamiento político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(19,7%)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(6,4%)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(12,2%)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(8,3%)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(2,4%)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2.063 (50,9%)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(12,6)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Ingreso per cápita familiar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37.104 (37.189,7)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2023-08-30T12:24:05Z</dcterms:modified>
  <cp:category/>
</cp:coreProperties>
</file>