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426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 (33,8%)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 (66,2%)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Situación conyugal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casado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(24,4%)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separado/a o divorciado/a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(10,1%)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soltero/a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(41,3%)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(23,5%)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viudo/a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(0,7%)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Cantidad de hijos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 (50,4%)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(17,2%)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(19,6%)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(9,1%)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(2,9%)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(0,2%)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(0,7%)</w:t>
            </w:r>
          </w:p>
        </w:tc>
      </w:tr>
      <w:tr>
        <w:trPr>
          <w:trHeight w:val="57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Sistema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 público o centros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(11,3%)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Obra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 (52,3%)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Prepaga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(36,4%)</w:t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nacimiento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esta localidad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 (62,8%)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localidad de esta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(19,1%)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(12,7%)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otro país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(1,2%)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un país limítrofe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(4,2%)</w:t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residencia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(28,2%)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Conurbano GBA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(30,0%)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Córdoba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(21,4%)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 del Plata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(20,4%)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Nivel educativo alcanzado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Hasta sec. comp.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 (71,4%)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Superior comp.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(28,6%)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 (DE)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2024-12-19T17:28:30Z</dcterms:modified>
  <cp:category/>
</cp:coreProperties>
</file>