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78"/>
        <w:gridCol w:w="1609"/>
      </w:tblGrid>
      <w:tr>
        <w:trPr>
          <w:trHeight w:val="57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Característica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1.384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Movilidad subjetiva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Ascendente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 (14,9%)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 (52,0%)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Descendente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454 (33,1%)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Movilidad objetiva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Movilidad ascendente 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257 (19,1%)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Movilidad ascendente corta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 (19,0%)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Reproducción social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459 (34,0%)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Movilidad descendente corta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 (18,3%)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Movilidad descendente 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(9,6%)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Clase social encuestado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Dueño de empresa grande/mediana o director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(1,9%)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(9,4%)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Pequeño propietario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 (18,4%)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Técnico/Administrativo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 (23,8%)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 manual calificado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 (36,1%)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 manual no calificado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 (10,4%)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Clase social de origen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Dueño de empresa grande/mediana o director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 (6,2%)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(5,8%)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Pequeño propietario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 (12,4%)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Técnico/Administrativo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345 (24,9%)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 manual calificado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434 (31,4%)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 manual no calificado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267 (19,3%)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Clase social subjetiva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Alto 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(3,1%)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499 (36,2%)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Bajo 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438 (31,7%)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Clase trabajadora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267 (19,4%)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Clase 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 (9,7%)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Cohorte de nacimiento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(4,1%)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 (12,1%)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226 (16,3%)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 (13,6%)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284 (20,5%)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345 (25,0%)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 (8,3%)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Género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674 (48,7%)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711 (51,3%)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Explicación de la movilidad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Mérito / individual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622 (45,2%)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679 (49,4%)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(5,4%)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Desigualdad percibida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Muy desigual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737 (53,3%)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 desigual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498 (36,1%)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Poco o nada desigual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 (10,6%)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2026-10-07T12:04:58Z</dcterms:modified>
  <cp:category/>
</cp:coreProperties>
</file>