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77"/>
        <w:gridCol w:w="1504"/>
        <w:gridCol w:w="1039"/>
        <w:gridCol w:w="1504"/>
        <w:gridCol w:w="1039"/>
        <w:gridCol w:w="1504"/>
        <w:gridCol w:w="1039"/>
      </w:tblGrid>
      <w:tr>
        <w:trPr>
          <w:trHeight w:val="665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Pobre -&gt; No pobre</w:t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pobre -&gt; Pobre</w:t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Pobre -&gt; Pobre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Mujer (jh)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**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Edad promedio del hogar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</w:tr>
      <w:tr>
        <w:trPr>
          <w:trHeight w:val="67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Privado tradicional (ref = privado dinámico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Público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</w:t>
            </w:r>
          </w:p>
        </w:tc>
      </w:tr>
      <w:tr>
        <w:trPr>
          <w:trHeight w:val="67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Diferencia cantidad de ocupados hogar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Diferencia cantidad de horas trabajadas hogar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</w:tr>
      <w:tr>
        <w:trPr>
          <w:trHeight w:val="67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Aumento número de trabajos (ref = mantuvo)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(0.26)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Disminución número de trabajos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</w:t>
            </w:r>
          </w:p>
        </w:tc>
      </w:tr>
      <w:tr>
        <w:trPr>
          <w:trHeight w:val="67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Informal (jh)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</w:tr>
      <w:tr>
        <w:trPr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Uso ahorros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</w:tr>
      <w:tr>
        <w:trPr>
          <w:trHeight w:val="67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Uso préstamo bancario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</w:t>
            </w:r>
          </w:p>
        </w:tc>
      </w:tr>
      <w:tr>
        <w:trPr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Uso préstamo familiar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 ***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(0.25)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 ***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</w:tr>
      <w:tr>
        <w:trPr>
          <w:trHeight w:val="62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2234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2234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2234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2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2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5348.75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5348.75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5348.75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2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5426.75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5426.75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5426.75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25" w:hRule="auto"/>
        </w:trPr>
        body18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nobs.1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2234.00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2234.00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2234.00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body19
        <w:tc>
          <w:tcPr>
            <w:gridSpan w:val="7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continuous predictors are mean-centered and scaled by 1 standard deviation. The outcome variable is in its original units. Standard errors are heteroskedasticity robust.  *** p &lt; 0.01;  ** p &lt; 0.05;  * p &lt; 0.1.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2025-06-09T22:13:25Z</dcterms:modified>
  <cp:category/>
</cp:coreProperties>
</file>