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365 (1,9%)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1.148 (6,0%)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588 (3,1%)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2.896 (15,0%)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9.928 (51,5%)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2.351 (13,1%)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9.420 (52,5%)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5.021 (28,0%)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1.151 (6,4%)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Apoyo 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partir del cual se deben pagar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1.252 (7,1%)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1.496 (8,5%)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6.004 (34,0%)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4.055 (23,0%)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4.853 (27,5%)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2024-12-05T13:26:42Z</dcterms:modified>
  <cp:category/>
</cp:coreProperties>
</file>