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365 (1,9%)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1.148 (6,0%)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588 (3,1%)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2.896 (15,0%)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9.928 (51,5%)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2.351 (13,1%)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9.420 (52,5%)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5.021 (28,0%)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1.151 (6,4%)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Apoyo 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que debe pagar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4.853 (27,5%)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6.004 (34,0%)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4.055 (23,0%)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1.252 (7,1%)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1.496 (8,5%)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2024-10-17T15:17:57Z</dcterms:modified>
  <cp:category/>
</cp:coreProperties>
</file>