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20.205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 (16)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9.670 (47,9%)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10.535 (52,1%)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Índice de estratificación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0,00 (1,00)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Clase subjetiva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365 (1,9%)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1.148 (6,0%)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6.496 (33,8%)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6.084 (31,7%)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5.103 (26,6%)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Percepción distribución de ingresos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588 (3,1%)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2.896 (15,0%)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9.928 (51,5%)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5.860 (30,4%)</w:t>
            </w:r>
          </w:p>
        </w:tc>
      </w:tr>
      <w:tr>
        <w:trPr>
          <w:trHeight w:val="57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Valoración economía de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2.351 (13,1%)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9.420 (52,5%)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5.021 (28,0%)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1.151 (6,4%)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Apoyo a ayuda en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15.800 (79,4%)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4.097 (20,6%)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recibir ayuda del gob.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735 (4,0%)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916 (5,0%)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12.592 (68,4%)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3.315 (18,0%)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842 (4,6%)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partir del cual se deben pagar impuestos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1.252 (7,1%)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1.496 (8,5%)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6.004 (34,0%)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4.055 (23,0%)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4.853 (27,5%)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Aceptación de la desigualdad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4,34 (2,88)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Arreglo para pagar menos impuestos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5.341 (27,3%)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(DE);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2025-04-14T10:36:09Z</dcterms:modified>
  <cp:category/>
</cp:coreProperties>
</file>