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20.205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9.670 (47,9%)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10.535 (52,1%)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0,00 (1,00)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365 (1,9%)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1.148 (6,0%)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588 (3,1%)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2.896 (15,0%)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9.928 (51,5%)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5.860 (30,4%)</w:t>
            </w:r>
          </w:p>
        </w:tc>
      </w:tr>
      <w:tr>
        <w:trPr>
          <w:trHeight w:val="57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2.351 (13,1%)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9.420 (52,5%)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5.021 (28,0%)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1.151 (6,4%)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Apoyo 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partir del cual se deben pagar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1.252 (7,1%)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1.496 (8,5%)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6.004 (34,0%)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4.055 (23,0%)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4.853 (27,5%)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5.341 (27,3%)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2024-12-06T12:10:55Z</dcterms:modified>
  <cp:category/>
</cp:coreProperties>
</file>