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57"/>
        <w:gridCol w:w="2787"/>
        <w:gridCol w:w="3234"/>
        <w:gridCol w:w="2139"/>
        <w:gridCol w:w="1907"/>
      </w:tblGrid>
      <w:tr>
        <w:trPr>
          <w:trHeight w:val="67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 estratificación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Sólo Argentina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(0.04)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***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 ** (0.22)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 (0.15)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*** 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 * (0.54)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(0.35)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(0.31)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Distribución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desacuerdo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(0.22)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(0.37)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(0.44)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 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* (0.45)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 (0.59)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 ** (0.15)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(0.49)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Todos deben pagar impuestos por igual (ref: solo ricos)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** (0.24)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(0.05)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Ningún progreso contra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(0.24)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Ideologia (izq-der)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18728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   </w:t>
            </w:r>
          </w:p>
        </w:tc>
      </w:tr>
      <w:tr>
        <w:trPr>
          <w:trHeight w:val="62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22551.94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15597.87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15432.31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597.90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22614.65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15739.37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15700.42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676.92 </w:t>
            </w:r>
          </w:p>
        </w:tc>
      </w:tr>
      <w:tr>
        <w:trPr>
          <w:trHeight w:val="625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2026-02-19T11:17:04Z</dcterms:modified>
  <cp:category/>
</cp:coreProperties>
</file>