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uetd6k2otyv" w:id="0"/>
      <w:bookmarkEnd w:id="0"/>
      <w:r w:rsidDel="00000000" w:rsidR="00000000" w:rsidRPr="00000000">
        <w:rPr>
          <w:rtl w:val="0"/>
        </w:rPr>
        <w:t xml:space="preserve">Jogos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Desde o surgimento do primeiro console de videogame, na década de 1970, a indústria dos jogos digitais vem crescendo e evoluindo constantemente e se aproveitando dos avanços tecnológicos, no intuito de entregar cada vez mais qualidade ao jogador. Gigantes como Nintendo, Sony e Microsoft movimentam bilhões de dólares todo ano e fomentam milhões de usuários ao redor do globo com ciclos de inovação cada vez mais curtos e avanços mais impressionantes. Hotho e McGregor [2] apresentam dados de crescimento de dois dígitos da indústria de jogos em 2015, e um crescimento previsto de 36 por cento em 2016, somente no segmento online.Taxas e projeções como estas apontam a relevância econômica deste setor regionalmente e no mundo.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 indústria de jogos digitais é relativamente nova, caracterizada pela alta velocidade das mudanças e que, como afirma Bernhaupt [1], constitui uma variedade imensa de aplicações, o que por consequência introduz um leque muito amplo de experiências para o jogador.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Os consumidores dos jogos, chamados </w:t>
      </w:r>
      <w:r w:rsidDel="00000000" w:rsidR="00000000" w:rsidRPr="00000000">
        <w:rPr>
          <w:i w:val="1"/>
          <w:rtl w:val="0"/>
        </w:rPr>
        <w:t xml:space="preserve">gamers</w:t>
      </w:r>
      <w:r w:rsidDel="00000000" w:rsidR="00000000" w:rsidRPr="00000000">
        <w:rPr>
          <w:rtl w:val="0"/>
        </w:rPr>
        <w:t xml:space="preserve">, constituem hoje um nicho específico de mercado, demandando ferramentas, equipamentos de interação, conteúdo de mídia, métodos de avaliação e ampliação da experiência de jogo, como por exemplo as comunidades online de jogos específicos, e estabelecendo uma forma de cultura, com as características do </w:t>
      </w:r>
      <w:r w:rsidDel="00000000" w:rsidR="00000000" w:rsidRPr="00000000">
        <w:rPr>
          <w:i w:val="1"/>
          <w:rtl w:val="0"/>
        </w:rPr>
        <w:t xml:space="preserve">gaming</w:t>
      </w:r>
      <w:r w:rsidDel="00000000" w:rsidR="00000000" w:rsidRPr="00000000">
        <w:rPr>
          <w:rtl w:val="0"/>
        </w:rPr>
        <w:t xml:space="preserve">. Ryu [4] aponta que a imersão nesta cultura dos jogos, </w:t>
      </w:r>
      <w:r w:rsidDel="00000000" w:rsidR="00000000" w:rsidRPr="00000000">
        <w:rPr>
          <w:i w:val="1"/>
          <w:rtl w:val="0"/>
        </w:rPr>
        <w:t xml:space="preserve">gaming culture</w:t>
      </w:r>
      <w:r w:rsidDel="00000000" w:rsidR="00000000" w:rsidRPr="00000000">
        <w:rPr>
          <w:rtl w:val="0"/>
        </w:rPr>
        <w:t xml:space="preserve">, pode tornar-se ainda uma forma de aprender, por meio do contato social com outros </w:t>
      </w:r>
      <w:r w:rsidDel="00000000" w:rsidR="00000000" w:rsidRPr="00000000">
        <w:rPr>
          <w:i w:val="1"/>
          <w:rtl w:val="0"/>
        </w:rPr>
        <w:t xml:space="preserve">gamers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Por outro lado, os meios de desenvolvimento dos jogos também evoluíram sobremaneira, de modo que há no mercado desde as séries best-sellers dos jogos de consoles, com produções que custam anos de trabalho, equipes altamente qualificadas e muitos milhões em investimento, até os jogos criados em plataformas como a GameMaker [3], que requerem pouquíssima habilidade do designer e, por isto mesmo, inundam o mercado de opções.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Estes são apenas alguns dos muitos aspectos que tornam os jogos digitais diversos nas experiências que podem proporcionar, complexos nas análises que se pode fazer e ainda bastante inexplorado no entendimento dos componentes que influem numa experiência satisfatória para o usuário, conforme suas expectativas, desde o simples divertimento até uma forma de interagir e aprender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[1] Bernhaupt, R. "User experience evaluation in entertainment."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Evaluating User Experience in Games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Springer London, 2010. 3-7.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[2] Hotho, S., McGregor, N., eds. “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Changing the Rules of the Game: Economic, Management and Emerging Issues in the Computer Games Industry”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Springer, 2013.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[3] “GameMaker.”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Yoyo Games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Accessado em 23 de November de 2016. http://www.yoyogames.com/gamemaker.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[4]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Ryu, D. 2013 “Play to Learn, Learn to Play: Language Learning through Gaming Culture”,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ReCALL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25(2), pp. 286–301.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