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1102.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-43807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7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Estruturas de Repetição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os algoritmos abaixo utilizando pseudocódigo através da ferramenta Visualg.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um conjunto de 20 números inteiros e mostre qual o maior e menor valores fornecidos.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Escrever um algoritmo que leia um número n que indica quantos valores devem ser lidos a seguir. Para cada número lido, mostre o valor lido e o fatorial deste valor.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leia um número n e imprima se ele é primo ou não. (um número primo tem apenas 2 divisores: 1 e ele mesmo! O número 1 é primo!!!)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Escrever um algoritmo que leia um número n que indica quantos valores devem ser lidos a seguir. O algoritmo deverá calcular a média aritmética dos valores lidos, a quantidade de valores positivos, a quantidade de valores negativos e o percentual de valores negativos e positivos. Mostre os resultados.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Escrever um algoritmo que leia um número n que indica quantos valores devem ser lidos a seguir. O algoritmo deverá contar quantos dos números lidos estão nos seguintes intervalos: [0.25], [26,50], [51,75] e [76,100]. Mostre os resultados.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imprima todos os números múltiplos de 5, no intervalo fechado de 1 a 500.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receba dez números do usuário e imprima o quadrado de cada número.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determine todos os divisores de um dado número 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um algoritmo que leia os limites inferior e superior de um intervalo e imprima todos os números pares no intervalo aberto e seu somatório. Suponha que os dados digitados são para um intervalo crescente, ou seja, o primeiro valor é menor que o segundo.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série de Fibonacci é formada pela sequência: 1, 1, 2, 3, 5, 8, 13, 21, 34, 55, .. Escreva um algoritmo que gere a série de FIBONACCI até o N-ésimo termo.</w:t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h+To9wzC/qaLUaNI/vIMHj3MwA==">AMUW2mU69GU7PVHkM8o6TlMRyMK1GsvyMRkp6h+pghk0y/JQZQLzD2zPirLj2RVHJ60I4344kubAmswBcTjNePzN8KTGGv6/wX7RiYfyI+s4o0XyitT2MOs=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