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4D763" w14:textId="5D214102" w:rsidR="00106DFB" w:rsidRPr="00CF787C" w:rsidRDefault="00106DFB" w:rsidP="00106DFB">
      <w:pPr>
        <w:spacing w:line="276" w:lineRule="auto"/>
        <w:jc w:val="center"/>
        <w:rPr>
          <w:rFonts w:ascii="Arial" w:eastAsia="Times New Roman" w:hAnsi="Arial" w:cs="Arial"/>
          <w:b/>
          <w:bCs/>
          <w:sz w:val="20"/>
          <w:szCs w:val="20"/>
          <w:lang w:val="es-ES" w:eastAsia="es-ES"/>
        </w:rPr>
      </w:pPr>
      <w:r w:rsidRPr="00CF787C">
        <w:rPr>
          <w:rFonts w:ascii="Arial" w:eastAsia="Times New Roman" w:hAnsi="Arial" w:cs="Arial"/>
          <w:b/>
          <w:bCs/>
          <w:sz w:val="20"/>
          <w:szCs w:val="20"/>
          <w:lang w:val="es-ES" w:eastAsia="es-ES"/>
        </w:rPr>
        <w:t xml:space="preserve">Anexo </w:t>
      </w:r>
      <w:proofErr w:type="spellStart"/>
      <w:r w:rsidRPr="00CF787C">
        <w:rPr>
          <w:rFonts w:ascii="Arial" w:eastAsia="Times New Roman" w:hAnsi="Arial" w:cs="Arial"/>
          <w:b/>
          <w:bCs/>
          <w:sz w:val="20"/>
          <w:szCs w:val="20"/>
          <w:lang w:val="es-ES" w:eastAsia="es-ES"/>
        </w:rPr>
        <w:t>N°</w:t>
      </w:r>
      <w:proofErr w:type="spellEnd"/>
      <w:r w:rsidRPr="00CF787C">
        <w:rPr>
          <w:rFonts w:ascii="Arial" w:eastAsia="Times New Roman" w:hAnsi="Arial" w:cs="Arial"/>
          <w:b/>
          <w:bCs/>
          <w:sz w:val="20"/>
          <w:szCs w:val="20"/>
          <w:lang w:val="es-ES" w:eastAsia="es-ES"/>
        </w:rPr>
        <w:t xml:space="preserve"> 1</w:t>
      </w:r>
      <w:r w:rsidR="008F0B04" w:rsidRPr="00CF787C">
        <w:rPr>
          <w:rFonts w:ascii="Arial" w:eastAsia="Times New Roman" w:hAnsi="Arial" w:cs="Arial"/>
          <w:b/>
          <w:bCs/>
          <w:sz w:val="20"/>
          <w:szCs w:val="20"/>
          <w:lang w:val="es-ES" w:eastAsia="es-ES"/>
        </w:rPr>
        <w:br/>
        <w:t>Declaración Jurada</w:t>
      </w:r>
    </w:p>
    <w:p w14:paraId="4FADFCE7" w14:textId="77777777" w:rsidR="0087750C" w:rsidRDefault="0087750C" w:rsidP="00F1658C">
      <w:pPr>
        <w:spacing w:line="276" w:lineRule="auto"/>
        <w:rPr>
          <w:rFonts w:ascii="Arial" w:eastAsia="Times New Roman" w:hAnsi="Arial" w:cs="Arial"/>
          <w:color w:val="404040" w:themeColor="text1" w:themeTint="BF"/>
          <w:sz w:val="20"/>
          <w:szCs w:val="20"/>
          <w:lang w:val="es-ES" w:eastAsia="es-ES"/>
        </w:rPr>
      </w:pPr>
    </w:p>
    <w:p w14:paraId="63B5B7EC" w14:textId="4633E391" w:rsidR="00F1658C" w:rsidRPr="00302339" w:rsidRDefault="00134D68" w:rsidP="00F1658C">
      <w:pPr>
        <w:spacing w:line="276" w:lineRule="auto"/>
        <w:rPr>
          <w:rFonts w:ascii="Arial" w:eastAsia="Times New Roman" w:hAnsi="Arial" w:cs="Arial"/>
          <w:color w:val="404040" w:themeColor="text1" w:themeTint="BF"/>
          <w:sz w:val="20"/>
          <w:szCs w:val="20"/>
          <w:lang w:val="es-ES" w:eastAsia="es-ES"/>
        </w:rPr>
      </w:pPr>
      <w:r w:rsidRPr="00302339">
        <w:rPr>
          <w:rFonts w:ascii="Arial" w:eastAsia="Times New Roman" w:hAnsi="Arial" w:cs="Arial"/>
          <w:color w:val="404040" w:themeColor="text1" w:themeTint="BF"/>
          <w:sz w:val="20"/>
          <w:szCs w:val="20"/>
          <w:lang w:val="es-ES" w:eastAsia="es-ES"/>
        </w:rPr>
        <w:t xml:space="preserve">Fecha: </w:t>
      </w:r>
      <w:r w:rsidR="00F1658C" w:rsidRPr="00302339">
        <w:rPr>
          <w:rFonts w:ascii="Arial" w:eastAsia="Times New Roman" w:hAnsi="Arial" w:cs="Arial"/>
          <w:color w:val="404040" w:themeColor="text1" w:themeTint="BF"/>
          <w:sz w:val="20"/>
          <w:szCs w:val="20"/>
          <w:lang w:val="es-ES" w:eastAsia="es-ES"/>
        </w:rPr>
        <w:fldChar w:fldCharType="begin"/>
      </w:r>
      <w:r w:rsidR="00F1658C" w:rsidRPr="00302339">
        <w:rPr>
          <w:rFonts w:ascii="Arial" w:eastAsia="Times New Roman" w:hAnsi="Arial" w:cs="Arial"/>
          <w:color w:val="404040" w:themeColor="text1" w:themeTint="BF"/>
          <w:sz w:val="20"/>
          <w:szCs w:val="20"/>
          <w:lang w:val="es-ES" w:eastAsia="es-ES"/>
        </w:rPr>
        <w:instrText xml:space="preserve"> MERGEFIELD  $FECHA_GENERACION  \* MERGEFORMAT </w:instrText>
      </w:r>
      <w:r w:rsidR="00F1658C" w:rsidRPr="00302339">
        <w:rPr>
          <w:rFonts w:ascii="Arial" w:eastAsia="Times New Roman" w:hAnsi="Arial" w:cs="Arial"/>
          <w:color w:val="404040" w:themeColor="text1" w:themeTint="BF"/>
          <w:sz w:val="20"/>
          <w:szCs w:val="20"/>
          <w:lang w:val="es-ES" w:eastAsia="es-ES"/>
        </w:rPr>
        <w:fldChar w:fldCharType="separate"/>
      </w:r>
      <w:r w:rsidR="00F1658C" w:rsidRPr="00302339">
        <w:rPr>
          <w:rFonts w:ascii="Arial" w:eastAsia="Times New Roman" w:hAnsi="Arial" w:cs="Arial"/>
          <w:noProof/>
          <w:color w:val="404040" w:themeColor="text1" w:themeTint="BF"/>
          <w:sz w:val="20"/>
          <w:szCs w:val="20"/>
          <w:lang w:val="es-ES" w:eastAsia="es-ES"/>
        </w:rPr>
        <w:t>«$FECHA_GENERACION»</w:t>
      </w:r>
      <w:r w:rsidR="00F1658C" w:rsidRPr="00302339">
        <w:rPr>
          <w:rFonts w:ascii="Arial" w:eastAsia="Times New Roman" w:hAnsi="Arial" w:cs="Arial"/>
          <w:color w:val="404040" w:themeColor="text1" w:themeTint="BF"/>
          <w:sz w:val="20"/>
          <w:szCs w:val="20"/>
          <w:lang w:val="es-ES" w:eastAsia="es-ES"/>
        </w:rPr>
        <w:fldChar w:fldCharType="end"/>
      </w:r>
    </w:p>
    <w:p w14:paraId="6DE8E1CE" w14:textId="00696083" w:rsidR="00525958" w:rsidRPr="00302339" w:rsidRDefault="009E68A0" w:rsidP="00F1658C">
      <w:pPr>
        <w:spacing w:line="276" w:lineRule="auto"/>
        <w:rPr>
          <w:rFonts w:ascii="Arial" w:eastAsia="Times New Roman" w:hAnsi="Arial" w:cs="Arial"/>
          <w:color w:val="404040" w:themeColor="text1" w:themeTint="BF"/>
          <w:sz w:val="20"/>
          <w:szCs w:val="20"/>
          <w:lang w:val="es-ES" w:eastAsia="es-ES"/>
        </w:rPr>
      </w:pPr>
      <w:r w:rsidRPr="00302339">
        <w:rPr>
          <w:rFonts w:ascii="Arial" w:eastAsia="Times New Roman" w:hAnsi="Arial" w:cs="Arial"/>
          <w:color w:val="404040" w:themeColor="text1" w:themeTint="BF"/>
          <w:sz w:val="20"/>
          <w:szCs w:val="20"/>
          <w:lang w:val="es-ES" w:eastAsia="es-ES"/>
        </w:rPr>
        <w:t>El/la solicitante declara bajo juramento lo siguiente:</w:t>
      </w:r>
    </w:p>
    <w:tbl>
      <w:tblPr>
        <w:tblStyle w:val="TableGrid"/>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8221"/>
      </w:tblGrid>
      <w:tr w:rsidR="00302339" w:rsidRPr="00302339" w14:paraId="36F221D9" w14:textId="77777777" w:rsidTr="00394CD2">
        <w:trPr>
          <w:trHeight w:val="295"/>
        </w:trPr>
        <w:tc>
          <w:tcPr>
            <w:tcW w:w="990" w:type="dxa"/>
            <w:tcBorders>
              <w:top w:val="outset" w:sz="2" w:space="0" w:color="auto"/>
              <w:left w:val="outset" w:sz="2" w:space="0" w:color="auto"/>
              <w:bottom w:val="single" w:sz="4" w:space="0" w:color="auto"/>
              <w:right w:val="outset" w:sz="2" w:space="0" w:color="auto"/>
            </w:tcBorders>
            <w:vAlign w:val="center"/>
          </w:tcPr>
          <w:p w14:paraId="067ECE6F" w14:textId="3A50FF88" w:rsidR="00FF50F8" w:rsidRPr="00302339" w:rsidRDefault="00215686" w:rsidP="009708BB">
            <w:pPr>
              <w:spacing w:line="276" w:lineRule="auto"/>
              <w:jc w:val="center"/>
              <w:rPr>
                <w:rFonts w:ascii="Arial" w:eastAsia="Times New Roman" w:hAnsi="Arial" w:cs="Arial"/>
                <w:color w:val="404040" w:themeColor="text1" w:themeTint="BF"/>
                <w:sz w:val="20"/>
                <w:szCs w:val="20"/>
                <w:lang w:val="es-ES" w:eastAsia="es-ES"/>
              </w:rPr>
            </w:pPr>
            <w:r w:rsidRPr="00302339">
              <w:rPr>
                <w:rFonts w:ascii="Arial" w:eastAsia="Times New Roman" w:hAnsi="Arial" w:cs="Arial"/>
                <w:color w:val="404040" w:themeColor="text1" w:themeTint="BF"/>
                <w:sz w:val="20"/>
                <w:szCs w:val="20"/>
                <w:lang w:val="es-ES" w:eastAsia="es-ES"/>
              </w:rPr>
              <w:fldChar w:fldCharType="begin"/>
            </w:r>
            <w:r w:rsidRPr="00302339">
              <w:rPr>
                <w:rFonts w:ascii="Arial" w:eastAsia="Times New Roman" w:hAnsi="Arial" w:cs="Arial"/>
                <w:color w:val="404040" w:themeColor="text1" w:themeTint="BF"/>
                <w:sz w:val="20"/>
                <w:szCs w:val="20"/>
                <w:lang w:val="es-ES" w:eastAsia="es-ES"/>
              </w:rPr>
              <w:instrText xml:space="preserve"> MERGEFIELD  $lst.Habilitado  \* MERGEFORMAT </w:instrText>
            </w:r>
            <w:r w:rsidRPr="00302339">
              <w:rPr>
                <w:rFonts w:ascii="Arial" w:eastAsia="Times New Roman" w:hAnsi="Arial" w:cs="Arial"/>
                <w:color w:val="404040" w:themeColor="text1" w:themeTint="BF"/>
                <w:sz w:val="20"/>
                <w:szCs w:val="20"/>
                <w:lang w:val="es-ES" w:eastAsia="es-ES"/>
              </w:rPr>
              <w:fldChar w:fldCharType="separate"/>
            </w:r>
            <w:r w:rsidRPr="00302339">
              <w:rPr>
                <w:rFonts w:ascii="Arial" w:eastAsia="Times New Roman" w:hAnsi="Arial" w:cs="Arial"/>
                <w:noProof/>
                <w:color w:val="404040" w:themeColor="text1" w:themeTint="BF"/>
                <w:sz w:val="20"/>
                <w:szCs w:val="20"/>
                <w:lang w:val="es-ES" w:eastAsia="es-ES"/>
              </w:rPr>
              <w:t>«$lst.Habilitado»</w:t>
            </w:r>
            <w:r w:rsidRPr="00302339">
              <w:rPr>
                <w:rFonts w:ascii="Arial" w:eastAsia="Times New Roman" w:hAnsi="Arial" w:cs="Arial"/>
                <w:color w:val="404040" w:themeColor="text1" w:themeTint="BF"/>
                <w:sz w:val="20"/>
                <w:szCs w:val="20"/>
                <w:lang w:val="es-ES" w:eastAsia="es-ES"/>
              </w:rPr>
              <w:fldChar w:fldCharType="end"/>
            </w:r>
          </w:p>
        </w:tc>
        <w:tc>
          <w:tcPr>
            <w:tcW w:w="8221" w:type="dxa"/>
            <w:tcBorders>
              <w:left w:val="outset" w:sz="2" w:space="0" w:color="auto"/>
            </w:tcBorders>
          </w:tcPr>
          <w:p w14:paraId="49C21D7D" w14:textId="08895841" w:rsidR="00423AD3" w:rsidRPr="00302339" w:rsidRDefault="00215686" w:rsidP="00143325">
            <w:pPr>
              <w:spacing w:before="120" w:after="120"/>
              <w:ind w:left="113"/>
              <w:jc w:val="both"/>
              <w:rPr>
                <w:rFonts w:ascii="Arial" w:hAnsi="Arial" w:cs="Arial"/>
                <w:color w:val="404040" w:themeColor="text1" w:themeTint="BF"/>
                <w:sz w:val="20"/>
                <w:szCs w:val="20"/>
              </w:rPr>
            </w:pPr>
            <w:r w:rsidRPr="00302339">
              <w:rPr>
                <w:rFonts w:ascii="Arial" w:eastAsia="Times New Roman" w:hAnsi="Arial" w:cs="Arial"/>
                <w:color w:val="404040" w:themeColor="text1" w:themeTint="BF"/>
                <w:sz w:val="20"/>
                <w:szCs w:val="20"/>
                <w:lang w:val="es-ES" w:eastAsia="es-ES"/>
              </w:rPr>
              <w:fldChar w:fldCharType="begin"/>
            </w:r>
            <w:r w:rsidRPr="00302339">
              <w:rPr>
                <w:rFonts w:ascii="Arial" w:eastAsia="Times New Roman" w:hAnsi="Arial" w:cs="Arial"/>
                <w:color w:val="404040" w:themeColor="text1" w:themeTint="BF"/>
                <w:sz w:val="20"/>
                <w:szCs w:val="20"/>
                <w:lang w:val="es-ES" w:eastAsia="es-ES"/>
              </w:rPr>
              <w:instrText xml:space="preserve"> MERGEFIELD  $lst.Nombre  \* MERGEFORMAT </w:instrText>
            </w:r>
            <w:r w:rsidRPr="00302339">
              <w:rPr>
                <w:rFonts w:ascii="Arial" w:eastAsia="Times New Roman" w:hAnsi="Arial" w:cs="Arial"/>
                <w:color w:val="404040" w:themeColor="text1" w:themeTint="BF"/>
                <w:sz w:val="20"/>
                <w:szCs w:val="20"/>
                <w:lang w:val="es-ES" w:eastAsia="es-ES"/>
              </w:rPr>
              <w:fldChar w:fldCharType="separate"/>
            </w:r>
            <w:r w:rsidRPr="00302339">
              <w:rPr>
                <w:rFonts w:ascii="Arial" w:eastAsia="Times New Roman" w:hAnsi="Arial" w:cs="Arial"/>
                <w:noProof/>
                <w:color w:val="404040" w:themeColor="text1" w:themeTint="BF"/>
                <w:sz w:val="20"/>
                <w:szCs w:val="20"/>
                <w:lang w:val="es-ES" w:eastAsia="es-ES"/>
              </w:rPr>
              <w:t>«$lst.Nombre»</w:t>
            </w:r>
            <w:r w:rsidRPr="00302339">
              <w:rPr>
                <w:rFonts w:ascii="Arial" w:eastAsia="Times New Roman" w:hAnsi="Arial" w:cs="Arial"/>
                <w:color w:val="404040" w:themeColor="text1" w:themeTint="BF"/>
                <w:sz w:val="20"/>
                <w:szCs w:val="20"/>
                <w:lang w:val="es-ES" w:eastAsia="es-ES"/>
              </w:rPr>
              <w:fldChar w:fldCharType="end"/>
            </w:r>
          </w:p>
        </w:tc>
      </w:tr>
    </w:tbl>
    <w:p w14:paraId="6E42561F" w14:textId="77492A5F" w:rsidR="004D5EE8" w:rsidRDefault="004D5EE8" w:rsidP="00F1658C">
      <w:pPr>
        <w:spacing w:line="276" w:lineRule="auto"/>
        <w:rPr>
          <w:rFonts w:ascii="Arial" w:eastAsia="Times New Roman" w:hAnsi="Arial" w:cs="Arial"/>
          <w:color w:val="404040" w:themeColor="text1" w:themeTint="BF"/>
          <w:sz w:val="20"/>
          <w:szCs w:val="20"/>
          <w:lang w:val="es-ES" w:eastAsia="es-ES"/>
        </w:rPr>
      </w:pPr>
    </w:p>
    <w:p w14:paraId="7A3A1D5F" w14:textId="77777777" w:rsidR="0087750C" w:rsidRPr="0087750C" w:rsidRDefault="0087750C" w:rsidP="0087750C">
      <w:pPr>
        <w:pBdr>
          <w:top w:val="nil"/>
          <w:left w:val="nil"/>
          <w:bottom w:val="nil"/>
          <w:right w:val="nil"/>
          <w:between w:val="nil"/>
        </w:pBdr>
        <w:spacing w:after="0" w:line="240" w:lineRule="auto"/>
        <w:ind w:left="284" w:hanging="284"/>
        <w:jc w:val="both"/>
        <w:rPr>
          <w:color w:val="3B3838" w:themeColor="background2" w:themeShade="40"/>
        </w:rPr>
      </w:pPr>
      <w:r w:rsidRPr="0087750C">
        <w:rPr>
          <w:rStyle w:val="FootnoteReference"/>
          <w:color w:val="3B3838" w:themeColor="background2" w:themeShade="40"/>
        </w:rPr>
        <w:t>*</w:t>
      </w:r>
      <w:r w:rsidRPr="0087750C">
        <w:rPr>
          <w:rFonts w:ascii="Arial" w:eastAsia="Arial" w:hAnsi="Arial" w:cs="Arial"/>
          <w:b/>
          <w:color w:val="3B3838" w:themeColor="background2" w:themeShade="40"/>
          <w:sz w:val="14"/>
          <w:szCs w:val="14"/>
        </w:rPr>
        <w:t xml:space="preserve">Texto Único Ordenado de la Ley </w:t>
      </w:r>
      <w:proofErr w:type="spellStart"/>
      <w:r w:rsidRPr="0087750C">
        <w:rPr>
          <w:rFonts w:ascii="Arial" w:eastAsia="Arial" w:hAnsi="Arial" w:cs="Arial"/>
          <w:b/>
          <w:color w:val="3B3838" w:themeColor="background2" w:themeShade="40"/>
          <w:sz w:val="14"/>
          <w:szCs w:val="14"/>
        </w:rPr>
        <w:t>N°</w:t>
      </w:r>
      <w:proofErr w:type="spellEnd"/>
      <w:r w:rsidRPr="0087750C">
        <w:rPr>
          <w:rFonts w:ascii="Arial" w:eastAsia="Arial" w:hAnsi="Arial" w:cs="Arial"/>
          <w:b/>
          <w:color w:val="3B3838" w:themeColor="background2" w:themeShade="40"/>
          <w:sz w:val="14"/>
          <w:szCs w:val="14"/>
        </w:rPr>
        <w:t xml:space="preserve"> 30225, Ley de Contrataciones del Estado, aprobado por Decreto Supremo </w:t>
      </w:r>
      <w:proofErr w:type="spellStart"/>
      <w:r w:rsidRPr="0087750C">
        <w:rPr>
          <w:rFonts w:ascii="Arial" w:eastAsia="Arial" w:hAnsi="Arial" w:cs="Arial"/>
          <w:b/>
          <w:color w:val="3B3838" w:themeColor="background2" w:themeShade="40"/>
          <w:sz w:val="14"/>
          <w:szCs w:val="14"/>
        </w:rPr>
        <w:t>N°</w:t>
      </w:r>
      <w:proofErr w:type="spellEnd"/>
      <w:r w:rsidRPr="0087750C">
        <w:rPr>
          <w:rFonts w:ascii="Arial" w:eastAsia="Arial" w:hAnsi="Arial" w:cs="Arial"/>
          <w:b/>
          <w:color w:val="3B3838" w:themeColor="background2" w:themeShade="40"/>
          <w:sz w:val="14"/>
          <w:szCs w:val="14"/>
        </w:rPr>
        <w:t xml:space="preserve"> 082-2019-EF.-</w:t>
      </w:r>
    </w:p>
    <w:p w14:paraId="2285C258" w14:textId="77777777" w:rsidR="0087750C" w:rsidRPr="0087750C" w:rsidRDefault="0087750C" w:rsidP="0087750C">
      <w:pPr>
        <w:spacing w:after="0" w:line="240" w:lineRule="auto"/>
        <w:ind w:left="284"/>
        <w:jc w:val="both"/>
        <w:rPr>
          <w:rFonts w:ascii="Arial" w:eastAsia="Arial" w:hAnsi="Arial" w:cs="Arial"/>
          <w:color w:val="3B3838" w:themeColor="background2" w:themeShade="40"/>
          <w:sz w:val="14"/>
          <w:szCs w:val="14"/>
        </w:rPr>
      </w:pPr>
      <w:r w:rsidRPr="0087750C">
        <w:rPr>
          <w:rFonts w:ascii="Arial" w:eastAsia="Arial" w:hAnsi="Arial" w:cs="Arial"/>
          <w:b/>
          <w:color w:val="3B3838" w:themeColor="background2" w:themeShade="40"/>
          <w:sz w:val="14"/>
          <w:szCs w:val="14"/>
        </w:rPr>
        <w:t>Artículo 11. Impedimento</w:t>
      </w:r>
    </w:p>
    <w:p w14:paraId="007D7520" w14:textId="77777777" w:rsidR="0087750C" w:rsidRPr="0087750C" w:rsidRDefault="0087750C" w:rsidP="0087750C">
      <w:pPr>
        <w:spacing w:after="0" w:line="240" w:lineRule="auto"/>
        <w:ind w:left="284"/>
        <w:jc w:val="both"/>
        <w:rPr>
          <w:rFonts w:ascii="Arial" w:eastAsia="Arial" w:hAnsi="Arial" w:cs="Arial"/>
          <w:color w:val="3B3838" w:themeColor="background2" w:themeShade="40"/>
          <w:sz w:val="14"/>
          <w:szCs w:val="14"/>
        </w:rPr>
      </w:pPr>
      <w:r w:rsidRPr="0087750C">
        <w:rPr>
          <w:rFonts w:ascii="Arial" w:eastAsia="Arial" w:hAnsi="Arial" w:cs="Arial"/>
          <w:color w:val="3B3838" w:themeColor="background2" w:themeShade="40"/>
          <w:sz w:val="14"/>
          <w:szCs w:val="14"/>
        </w:rPr>
        <w:t>11.1 Cualquiera sea el régimen legal de contratación aplicable, están impedidos de ser participantes, postores, contratistas y/o subcontratistas, incluso en las contrataciones a que se refiere el literal a) del artículo 5, las siguientes personas:</w:t>
      </w:r>
    </w:p>
    <w:p w14:paraId="68030738"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 xml:space="preserve">El </w:t>
      </w:r>
      <w:proofErr w:type="gramStart"/>
      <w:r w:rsidRPr="0087750C">
        <w:rPr>
          <w:rFonts w:ascii="Arial" w:eastAsia="Arial" w:hAnsi="Arial" w:cs="Arial"/>
          <w:color w:val="3B3838" w:themeColor="background2" w:themeShade="40"/>
          <w:sz w:val="14"/>
          <w:szCs w:val="14"/>
        </w:rPr>
        <w:t>Presidente</w:t>
      </w:r>
      <w:proofErr w:type="gramEnd"/>
      <w:r w:rsidRPr="0087750C">
        <w:rPr>
          <w:rFonts w:ascii="Arial" w:eastAsia="Arial" w:hAnsi="Arial" w:cs="Arial"/>
          <w:color w:val="3B3838" w:themeColor="background2" w:themeShade="40"/>
          <w:sz w:val="14"/>
          <w:szCs w:val="14"/>
        </w:rPr>
        <w:t xml:space="preserve"> y los Vicepresidentes de la República, los Congresistas de la República, los Jueces Supremos de la Corte Suprema de Justicia de la República, los titulares y los miembros del órgano colegiado de los Organismos Constitucionales Autónomos, en todo proceso de contratación mientras ejerzan el cargo y hasta doce (12) meses después de haber dejado el mismo.</w:t>
      </w:r>
    </w:p>
    <w:p w14:paraId="5738CAD5"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 xml:space="preserve">Los </w:t>
      </w:r>
      <w:proofErr w:type="gramStart"/>
      <w:r w:rsidRPr="0087750C">
        <w:rPr>
          <w:rFonts w:ascii="Arial" w:eastAsia="Arial" w:hAnsi="Arial" w:cs="Arial"/>
          <w:color w:val="3B3838" w:themeColor="background2" w:themeShade="40"/>
          <w:sz w:val="14"/>
          <w:szCs w:val="14"/>
        </w:rPr>
        <w:t>Ministros</w:t>
      </w:r>
      <w:proofErr w:type="gramEnd"/>
      <w:r w:rsidRPr="0087750C">
        <w:rPr>
          <w:rFonts w:ascii="Arial" w:eastAsia="Arial" w:hAnsi="Arial" w:cs="Arial"/>
          <w:color w:val="3B3838" w:themeColor="background2" w:themeShade="40"/>
          <w:sz w:val="14"/>
          <w:szCs w:val="14"/>
        </w:rPr>
        <w:t xml:space="preserve"> y Viceministros de Estado en todo proceso de contratación mientras ejerzan el cargo; luego de dejar el cargo, el impedimento establecido para estos subsiste hasta (12) meses después y solo en el ámbito de su sector.</w:t>
      </w:r>
    </w:p>
    <w:p w14:paraId="38CA2A5E"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 xml:space="preserve">Los Gobernadores, Vicegobernadores y </w:t>
      </w:r>
      <w:proofErr w:type="gramStart"/>
      <w:r w:rsidRPr="0087750C">
        <w:rPr>
          <w:rFonts w:ascii="Arial" w:eastAsia="Arial" w:hAnsi="Arial" w:cs="Arial"/>
          <w:color w:val="3B3838" w:themeColor="background2" w:themeShade="40"/>
          <w:sz w:val="14"/>
          <w:szCs w:val="14"/>
        </w:rPr>
        <w:t>Consejeros</w:t>
      </w:r>
      <w:proofErr w:type="gramEnd"/>
      <w:r w:rsidRPr="0087750C">
        <w:rPr>
          <w:rFonts w:ascii="Arial" w:eastAsia="Arial" w:hAnsi="Arial" w:cs="Arial"/>
          <w:color w:val="3B3838" w:themeColor="background2" w:themeShade="40"/>
          <w:sz w:val="14"/>
          <w:szCs w:val="14"/>
        </w:rPr>
        <w:t xml:space="preserve"> de los Gobiernos Regionales. En el caso de los Gobernadores y Vicegobernadores, el impedimento aplica para todo proceso de contratación mientras ejerzan el cargo; luego de dejar el cargo, el impedimento establecido para estos subsiste hasta doce (12) meses después y solo en el ámbito de su competencia territorial. En el caso de los </w:t>
      </w:r>
      <w:proofErr w:type="gramStart"/>
      <w:r w:rsidRPr="0087750C">
        <w:rPr>
          <w:rFonts w:ascii="Arial" w:eastAsia="Arial" w:hAnsi="Arial" w:cs="Arial"/>
          <w:color w:val="3B3838" w:themeColor="background2" w:themeShade="40"/>
          <w:sz w:val="14"/>
          <w:szCs w:val="14"/>
        </w:rPr>
        <w:t>Consejeros</w:t>
      </w:r>
      <w:proofErr w:type="gramEnd"/>
      <w:r w:rsidRPr="0087750C">
        <w:rPr>
          <w:rFonts w:ascii="Arial" w:eastAsia="Arial" w:hAnsi="Arial" w:cs="Arial"/>
          <w:color w:val="3B3838" w:themeColor="background2" w:themeShade="40"/>
          <w:sz w:val="14"/>
          <w:szCs w:val="14"/>
        </w:rPr>
        <w:t xml:space="preserve"> de los Gobiernos Regionales, el impedimento aplica para todo proceso de contratación en el ámbito de su competencia territorial durante el ejercicio del cargo y hasta doce (12) meses después de haber concluido el mismo.</w:t>
      </w:r>
    </w:p>
    <w:p w14:paraId="3EC81B96"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 xml:space="preserve">Los Jueces de las Cortes Superiores de Justicia, los </w:t>
      </w:r>
      <w:proofErr w:type="gramStart"/>
      <w:r w:rsidRPr="0087750C">
        <w:rPr>
          <w:rFonts w:ascii="Arial" w:eastAsia="Arial" w:hAnsi="Arial" w:cs="Arial"/>
          <w:color w:val="3B3838" w:themeColor="background2" w:themeShade="40"/>
          <w:sz w:val="14"/>
          <w:szCs w:val="14"/>
        </w:rPr>
        <w:t>Alcaldes</w:t>
      </w:r>
      <w:proofErr w:type="gramEnd"/>
      <w:r w:rsidRPr="0087750C">
        <w:rPr>
          <w:rFonts w:ascii="Arial" w:eastAsia="Arial" w:hAnsi="Arial" w:cs="Arial"/>
          <w:color w:val="3B3838" w:themeColor="background2" w:themeShade="40"/>
          <w:sz w:val="14"/>
          <w:szCs w:val="14"/>
        </w:rPr>
        <w:t xml:space="preserve"> y los Regidores. Tratándose de los Jueces de las Cortes Superiores y de los </w:t>
      </w:r>
      <w:proofErr w:type="gramStart"/>
      <w:r w:rsidRPr="0087750C">
        <w:rPr>
          <w:rFonts w:ascii="Arial" w:eastAsia="Arial" w:hAnsi="Arial" w:cs="Arial"/>
          <w:color w:val="3B3838" w:themeColor="background2" w:themeShade="40"/>
          <w:sz w:val="14"/>
          <w:szCs w:val="14"/>
        </w:rPr>
        <w:t>Alcaldes</w:t>
      </w:r>
      <w:proofErr w:type="gramEnd"/>
      <w:r w:rsidRPr="0087750C">
        <w:rPr>
          <w:rFonts w:ascii="Arial" w:eastAsia="Arial" w:hAnsi="Arial" w:cs="Arial"/>
          <w:color w:val="3B3838" w:themeColor="background2" w:themeShade="40"/>
          <w:sz w:val="14"/>
          <w:szCs w:val="14"/>
        </w:rPr>
        <w:t>, el impedimento aplica para todo proceso de contratación durante el ejercicio del cargo; luego de dejar el cargo, el impedimento establecido para estos subsiste hasta doce (12) meses después y solo en el ámbito de su competencia territorial. En el caso de los Regidores el impedimento aplica para todo proceso de contratación en el ámbito de su competencia territorial, durante el ejercicio del cargo y hasta doce (12) meses después de haber concluido el mismo.</w:t>
      </w:r>
    </w:p>
    <w:p w14:paraId="1DD70F41"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Los titulares de instituciones o de organismos públicos del Poder Ejecutivo, los funcionarios públicos, empleados de confianza, servidores públicos con poder de dirección o decisión, según la ley especial de la materia, y los gerentes de las empresas del Estado. El impedimento se aplica para todo proceso de contratación durante el ejercicio del cargo; luego de culminado el mismo hasta doce (12) meses después sólo en la entidad a la que pertenecieron. Los directores de las empresas del Estado y los miembros de los Consejos Directivos de los organismos públicos del Poder Ejecutivo se encuentran impedidos en el ámbito de la Entidad a la que pertenecen, mientras ejercen el cargo y hasta doce (12) meses después de haber culminado el mismo.</w:t>
      </w:r>
    </w:p>
    <w:p w14:paraId="5E70E835"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Los servidores públicos no comprendidos en literal anterior, y los trabajadores de las empresas del Estado, en todo proceso de contratación en la Entidad a la que pertenecen, mientras ejercen su función. Luego de haber concluido su función y hasta doce (12) meses después, el impedimento se aplica para los procesos de contratación en la Entidad a la que pertenecieron, siempre que por la función desempeñada dichas personas hayan tenido influencia, poder de decisión, información privilegiada referida a tales procesos o conflicto de intereses.</w:t>
      </w:r>
    </w:p>
    <w:p w14:paraId="2C8930EA"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 xml:space="preserve">En el proceso de contratación correspondiente, las personas naturales o jurídicas que tengan intervención directa en cualquiera de las siguientes actuaciones: i) determinación de las características técnicas y/o valor referencial o valor estimado, </w:t>
      </w:r>
      <w:proofErr w:type="spellStart"/>
      <w:r w:rsidRPr="0087750C">
        <w:rPr>
          <w:rFonts w:ascii="Arial" w:eastAsia="Arial" w:hAnsi="Arial" w:cs="Arial"/>
          <w:color w:val="3B3838" w:themeColor="background2" w:themeShade="40"/>
          <w:sz w:val="14"/>
          <w:szCs w:val="14"/>
        </w:rPr>
        <w:t>ii</w:t>
      </w:r>
      <w:proofErr w:type="spellEnd"/>
      <w:r w:rsidRPr="0087750C">
        <w:rPr>
          <w:rFonts w:ascii="Arial" w:eastAsia="Arial" w:hAnsi="Arial" w:cs="Arial"/>
          <w:color w:val="3B3838" w:themeColor="background2" w:themeShade="40"/>
          <w:sz w:val="14"/>
          <w:szCs w:val="14"/>
        </w:rPr>
        <w:t xml:space="preserve">) elaboración de documentos del procedimiento de selección, </w:t>
      </w:r>
      <w:proofErr w:type="spellStart"/>
      <w:r w:rsidRPr="0087750C">
        <w:rPr>
          <w:rFonts w:ascii="Arial" w:eastAsia="Arial" w:hAnsi="Arial" w:cs="Arial"/>
          <w:color w:val="3B3838" w:themeColor="background2" w:themeShade="40"/>
          <w:sz w:val="14"/>
          <w:szCs w:val="14"/>
        </w:rPr>
        <w:t>iii</w:t>
      </w:r>
      <w:proofErr w:type="spellEnd"/>
      <w:r w:rsidRPr="0087750C">
        <w:rPr>
          <w:rFonts w:ascii="Arial" w:eastAsia="Arial" w:hAnsi="Arial" w:cs="Arial"/>
          <w:color w:val="3B3838" w:themeColor="background2" w:themeShade="40"/>
          <w:sz w:val="14"/>
          <w:szCs w:val="14"/>
        </w:rPr>
        <w:t xml:space="preserve">) calificación y evaluación de ofertas, y </w:t>
      </w:r>
      <w:proofErr w:type="spellStart"/>
      <w:r w:rsidRPr="0087750C">
        <w:rPr>
          <w:rFonts w:ascii="Arial" w:eastAsia="Arial" w:hAnsi="Arial" w:cs="Arial"/>
          <w:color w:val="3B3838" w:themeColor="background2" w:themeShade="40"/>
          <w:sz w:val="14"/>
          <w:szCs w:val="14"/>
        </w:rPr>
        <w:t>iv</w:t>
      </w:r>
      <w:proofErr w:type="spellEnd"/>
      <w:r w:rsidRPr="0087750C">
        <w:rPr>
          <w:rFonts w:ascii="Arial" w:eastAsia="Arial" w:hAnsi="Arial" w:cs="Arial"/>
          <w:color w:val="3B3838" w:themeColor="background2" w:themeShade="40"/>
          <w:sz w:val="14"/>
          <w:szCs w:val="14"/>
        </w:rPr>
        <w:t>) la conformidad de los contratos derivados de dicho procedimiento, salvo en el caso de los contratos de supervisión. Tratándose de personas jurídicas el impedimento le alcanza si la referida intervención se produce a través de personas que se vinculan a esta.</w:t>
      </w:r>
    </w:p>
    <w:p w14:paraId="26265DEC"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El cónyuge, conviviente o los parientes hasta el segundo grado de consanguinidad o afinidad de las personas señaladas en los literales precedentes, de acuerdo a los siguientes criterios:</w:t>
      </w:r>
    </w:p>
    <w:p w14:paraId="28EDE334" w14:textId="77777777" w:rsidR="0087750C" w:rsidRPr="0087750C" w:rsidRDefault="0087750C" w:rsidP="0087750C">
      <w:pPr>
        <w:numPr>
          <w:ilvl w:val="1"/>
          <w:numId w:val="1"/>
        </w:numPr>
        <w:pBdr>
          <w:top w:val="nil"/>
          <w:left w:val="nil"/>
          <w:bottom w:val="nil"/>
          <w:right w:val="nil"/>
          <w:between w:val="nil"/>
        </w:pBdr>
        <w:spacing w:after="0" w:line="240" w:lineRule="auto"/>
        <w:ind w:left="851" w:hanging="284"/>
        <w:jc w:val="both"/>
        <w:rPr>
          <w:rFonts w:ascii="Arial" w:eastAsia="Arial" w:hAnsi="Arial" w:cs="Arial"/>
          <w:color w:val="3B3838" w:themeColor="background2" w:themeShade="40"/>
          <w:sz w:val="14"/>
          <w:szCs w:val="14"/>
        </w:rPr>
      </w:pPr>
      <w:r w:rsidRPr="0087750C">
        <w:rPr>
          <w:rFonts w:ascii="Arial" w:eastAsia="Arial" w:hAnsi="Arial" w:cs="Arial"/>
          <w:color w:val="3B3838" w:themeColor="background2" w:themeShade="40"/>
          <w:sz w:val="14"/>
          <w:szCs w:val="14"/>
        </w:rPr>
        <w:t>Cuando la relación existe con las personas comprendidas en los literales a) y b), el impedimento se configura respecto del mismo ámbito y por igual tiempo que los establecidos para cada una de estas;</w:t>
      </w:r>
    </w:p>
    <w:p w14:paraId="49320BC5" w14:textId="77777777" w:rsidR="0087750C" w:rsidRPr="0087750C" w:rsidRDefault="0087750C" w:rsidP="0087750C">
      <w:pPr>
        <w:numPr>
          <w:ilvl w:val="1"/>
          <w:numId w:val="1"/>
        </w:numPr>
        <w:pBdr>
          <w:top w:val="nil"/>
          <w:left w:val="nil"/>
          <w:bottom w:val="nil"/>
          <w:right w:val="nil"/>
          <w:between w:val="nil"/>
        </w:pBdr>
        <w:spacing w:after="0" w:line="240" w:lineRule="auto"/>
        <w:ind w:left="851" w:hanging="284"/>
        <w:jc w:val="both"/>
        <w:rPr>
          <w:rFonts w:ascii="Arial" w:eastAsia="Arial" w:hAnsi="Arial" w:cs="Arial"/>
          <w:color w:val="3B3838" w:themeColor="background2" w:themeShade="40"/>
          <w:sz w:val="14"/>
          <w:szCs w:val="14"/>
        </w:rPr>
      </w:pPr>
      <w:bookmarkStart w:id="0" w:name="_30j0zll" w:colFirst="0" w:colLast="0"/>
      <w:bookmarkEnd w:id="0"/>
      <w:r w:rsidRPr="0087750C">
        <w:rPr>
          <w:rFonts w:ascii="Arial" w:eastAsia="Arial" w:hAnsi="Arial" w:cs="Arial"/>
          <w:color w:val="3B3838" w:themeColor="background2" w:themeShade="40"/>
          <w:sz w:val="14"/>
          <w:szCs w:val="14"/>
        </w:rPr>
        <w:t>Cuando la relación existe con las personas comprendidas en los literales c) y d), el impedimento se configura en el ámbito de competencia territorial mientras estas personas ejercen el cargo y hasta doce (12) meses después de concluido;</w:t>
      </w:r>
    </w:p>
    <w:p w14:paraId="1FFA6227" w14:textId="77777777" w:rsidR="0087750C" w:rsidRPr="0087750C" w:rsidRDefault="0087750C" w:rsidP="0087750C">
      <w:pPr>
        <w:numPr>
          <w:ilvl w:val="1"/>
          <w:numId w:val="1"/>
        </w:numPr>
        <w:pBdr>
          <w:top w:val="nil"/>
          <w:left w:val="nil"/>
          <w:bottom w:val="nil"/>
          <w:right w:val="nil"/>
          <w:between w:val="nil"/>
        </w:pBdr>
        <w:spacing w:after="0" w:line="240" w:lineRule="auto"/>
        <w:ind w:left="851" w:hanging="284"/>
        <w:jc w:val="both"/>
        <w:rPr>
          <w:rFonts w:ascii="Arial" w:eastAsia="Arial" w:hAnsi="Arial" w:cs="Arial"/>
          <w:color w:val="3B3838" w:themeColor="background2" w:themeShade="40"/>
          <w:sz w:val="14"/>
          <w:szCs w:val="14"/>
        </w:rPr>
      </w:pPr>
      <w:r w:rsidRPr="0087750C">
        <w:rPr>
          <w:rFonts w:ascii="Arial" w:eastAsia="Arial" w:hAnsi="Arial" w:cs="Arial"/>
          <w:color w:val="3B3838" w:themeColor="background2" w:themeShade="40"/>
          <w:sz w:val="14"/>
          <w:szCs w:val="14"/>
        </w:rPr>
        <w:t>Cuando la relación existe con las personas comprendidas en el literal e), el impedimento se configura en la Entidad a la que pertenecen estas personas mientras ejercen el cargo y hasta doce (12) meses después de concluido;</w:t>
      </w:r>
    </w:p>
    <w:p w14:paraId="639446FC" w14:textId="77777777" w:rsidR="0087750C" w:rsidRPr="0087750C" w:rsidRDefault="0087750C" w:rsidP="0087750C">
      <w:pPr>
        <w:numPr>
          <w:ilvl w:val="1"/>
          <w:numId w:val="1"/>
        </w:numPr>
        <w:pBdr>
          <w:top w:val="nil"/>
          <w:left w:val="nil"/>
          <w:bottom w:val="nil"/>
          <w:right w:val="nil"/>
          <w:between w:val="nil"/>
        </w:pBdr>
        <w:spacing w:after="0" w:line="240" w:lineRule="auto"/>
        <w:ind w:left="851" w:hanging="284"/>
        <w:jc w:val="both"/>
        <w:rPr>
          <w:rFonts w:ascii="Arial" w:eastAsia="Arial" w:hAnsi="Arial" w:cs="Arial"/>
          <w:color w:val="3B3838" w:themeColor="background2" w:themeShade="40"/>
          <w:sz w:val="14"/>
          <w:szCs w:val="14"/>
        </w:rPr>
      </w:pPr>
      <w:r w:rsidRPr="0087750C">
        <w:rPr>
          <w:rFonts w:ascii="Arial" w:eastAsia="Arial" w:hAnsi="Arial" w:cs="Arial"/>
          <w:color w:val="3B3838" w:themeColor="background2" w:themeShade="40"/>
          <w:sz w:val="14"/>
          <w:szCs w:val="14"/>
        </w:rPr>
        <w:t>Cuando la relación existe con las personas comprendidas en los literales f) y g), el impedimento tiene el mismo alcance al referido en los citados literales.</w:t>
      </w:r>
    </w:p>
    <w:p w14:paraId="4A742310"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En el ámbito y tiempo establecidos para las personas señaladas en los literales precedentes, las personas jurídicas en las que aquellas tengan o hayan tenido una participación individual o conjunta superior al treinta por ciento (30%) del capital o patrimonio social, dentro de los doce (12) meses anteriores a la convocatoria del respectivo procedimiento de selección.</w:t>
      </w:r>
    </w:p>
    <w:p w14:paraId="6471FDC5"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En el ámbito y tiempo establecido para las personas señaladas en los literales precedentes, las personas jurídicas sin fines de lucro en las que aquellas participen o hayan participado como asociados o miembros de sus consejos directivos, dentro de los doce (12) meses anteriores a la convocatoria del respectivo procedimiento de selección.</w:t>
      </w:r>
    </w:p>
    <w:p w14:paraId="04214A0F"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En el ámbito y tiempo establecidos para las personas señaladas en los literales precedentes, las personas jurídicas cuyos integrantes de los órganos de administración, apoderados o representantes legales sean las referidas personas. Idéntica prohibición se extiende a las personas naturales que tengan como apoderados o representantes a las citadas personas.</w:t>
      </w:r>
    </w:p>
    <w:p w14:paraId="0C22CC9D"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En todo proceso de contratación, las personas naturales o jurídicas inhabilitadas o suspendidas para contratar con el Estado.</w:t>
      </w:r>
    </w:p>
    <w:p w14:paraId="2E104820"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En todo proceso de contratación, las personas condenadas, en el país o el extranjero, mediante sentencia consentida o ejecutoriada por delitos de concusión, peculado, corrupción de funcionarios, enriquecimiento ilícito, tráfico de influencias, delitos cometidos en remates o procedimientos de selección, o delitos equivalentes en caso estos hayan sido cometidos en otros países. El impedimento se extiende a las personas que, directamente o a través de sus representantes, hubiesen admitido y/o reconocido la comisión de cualquiera de los delitos antes descritos ante alguna autoridad nacional o extranjera competente.</w:t>
      </w:r>
    </w:p>
    <w:p w14:paraId="41ABCA18"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En todo proceso de contratación, las personas jurídicas cuyos representantes legales o personas vinculadas que (i) hubiesen sido condenadas, en el país o el extranjero, mediante sentencia consentida o ejecutoriada por delitos de concusión, peculado, corrupción de funcionarios, enriquecimiento ilícito, tráfico de influencias, delitos cometidos en remates o procedimientos de selección, o delitos equivalentes en caso estos hayan sido cometidos en otros países; o, (</w:t>
      </w:r>
      <w:proofErr w:type="spellStart"/>
      <w:r w:rsidRPr="0087750C">
        <w:rPr>
          <w:rFonts w:ascii="Arial" w:eastAsia="Arial" w:hAnsi="Arial" w:cs="Arial"/>
          <w:color w:val="3B3838" w:themeColor="background2" w:themeShade="40"/>
          <w:sz w:val="14"/>
          <w:szCs w:val="14"/>
        </w:rPr>
        <w:t>ii</w:t>
      </w:r>
      <w:proofErr w:type="spellEnd"/>
      <w:r w:rsidRPr="0087750C">
        <w:rPr>
          <w:rFonts w:ascii="Arial" w:eastAsia="Arial" w:hAnsi="Arial" w:cs="Arial"/>
          <w:color w:val="3B3838" w:themeColor="background2" w:themeShade="40"/>
          <w:sz w:val="14"/>
          <w:szCs w:val="14"/>
        </w:rPr>
        <w:t>) directamente o a través de sus representantes, hubiesen admitido y/o reconocido la comisión de cualquiera de los delitos antes descritos ante alguna autoridad nacional o extranjera competente. Tratándose de consorcios, el impedimento se extiende a los representantes legales o personas vinculadas a cualquiera de los integrantes del consorcio.</w:t>
      </w:r>
    </w:p>
    <w:p w14:paraId="7674C5B8"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 xml:space="preserve">En todo proceso de contratación, las personas naturales o jurídicas a través de las cuales, por razón de las personas que las representan, las constituyen o participan en su accionariado o cualquier otra circunstancia comprobable se determine que son continuación, derivación, sucesión, o testaferro, de otra persona impedida o inhabilitada, o que de alguna manera esta posee su control efectivo, </w:t>
      </w:r>
      <w:r w:rsidRPr="0087750C">
        <w:rPr>
          <w:rFonts w:ascii="Arial" w:eastAsia="Arial" w:hAnsi="Arial" w:cs="Arial"/>
          <w:color w:val="3B3838" w:themeColor="background2" w:themeShade="40"/>
          <w:sz w:val="14"/>
          <w:szCs w:val="14"/>
        </w:rPr>
        <w:lastRenderedPageBreak/>
        <w:t>independientemente de la forma jurídica empleada para eludir dicha restricción, tales como fusión, escisión, reorganización, transformación o similares.</w:t>
      </w:r>
    </w:p>
    <w:p w14:paraId="78D21D39"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En un mismo procedimiento de selección las personas naturales o jurídicas que pertenezcan a un mismo grupo económico, conforme se define en el reglamento.</w:t>
      </w:r>
    </w:p>
    <w:p w14:paraId="2FB81DCD"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En todo proceso de contratación, las personas inscritas en el Registro de Deudores de Reparaciones Civiles (REDERECI), sea en nombre propio o a través de persona jurídica en la que sea accionista u otro similar, con excepción de las empresas que cotizan acciones en bolsa. Asimismo, las personas inscritas en el Registro Nacional de Abogados Sancionados por Mala Práctica Profesional y en el Registro Nacional de Sanciones de Destitución y Despido, por el tiempo que establezca la ley de la materia; así como en todos los otros registros creados por Ley que impidan contratar con el Estado.</w:t>
      </w:r>
    </w:p>
    <w:p w14:paraId="455C1252"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Las personas jurídicas nacionales o extranjeras que hubiesen efectuado aportes a organizaciones políticas durante un proceso electoral, por todo el período de gobierno representativo y dentro de la circunscripción en la cual la organización política beneficiada con el aporte ganó el proceso electoral que corresponda.</w:t>
      </w:r>
    </w:p>
    <w:p w14:paraId="7837AD40"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 xml:space="preserve">En todo proceso de contratación y siempre que cuenten con el mismo objeto social, las personas jurídicas cuyos integrantes formen o hayan formado parte en la fecha en que se cometió la infracción, de personas jurídicas que se encuentren sancionadas administrativamente con inhabilitación temporal o permanente para participar en procedimientos de selección y para contratar con el Estado. El impedimento también es aplicable a la persona jurídica cuyos integrantes se encuentren sancionados administrativamente con inhabilitación temporal o permanente para participar en procedimientos de selección y para contratar con el Estado. Para estos efectos, por integrantes se entiende a los representantes legales, integrantes de los órganos de administración, socios, accionistas, </w:t>
      </w:r>
      <w:proofErr w:type="spellStart"/>
      <w:r w:rsidRPr="0087750C">
        <w:rPr>
          <w:rFonts w:ascii="Arial" w:eastAsia="Arial" w:hAnsi="Arial" w:cs="Arial"/>
          <w:color w:val="3B3838" w:themeColor="background2" w:themeShade="40"/>
          <w:sz w:val="14"/>
          <w:szCs w:val="14"/>
        </w:rPr>
        <w:t>participacionistas</w:t>
      </w:r>
      <w:proofErr w:type="spellEnd"/>
      <w:r w:rsidRPr="0087750C">
        <w:rPr>
          <w:rFonts w:ascii="Arial" w:eastAsia="Arial" w:hAnsi="Arial" w:cs="Arial"/>
          <w:color w:val="3B3838" w:themeColor="background2" w:themeShade="40"/>
          <w:sz w:val="14"/>
          <w:szCs w:val="14"/>
        </w:rPr>
        <w:t xml:space="preserve"> o titulares. Para el caso de socios, accionistas, </w:t>
      </w:r>
      <w:proofErr w:type="spellStart"/>
      <w:r w:rsidRPr="0087750C">
        <w:rPr>
          <w:rFonts w:ascii="Arial" w:eastAsia="Arial" w:hAnsi="Arial" w:cs="Arial"/>
          <w:color w:val="3B3838" w:themeColor="background2" w:themeShade="40"/>
          <w:sz w:val="14"/>
          <w:szCs w:val="14"/>
        </w:rPr>
        <w:t>participacionistas</w:t>
      </w:r>
      <w:proofErr w:type="spellEnd"/>
      <w:r w:rsidRPr="0087750C">
        <w:rPr>
          <w:rFonts w:ascii="Arial" w:eastAsia="Arial" w:hAnsi="Arial" w:cs="Arial"/>
          <w:color w:val="3B3838" w:themeColor="background2" w:themeShade="40"/>
          <w:sz w:val="14"/>
          <w:szCs w:val="14"/>
        </w:rPr>
        <w:t xml:space="preserve"> o titulares, el impedimento es aplicable siempre que su participación individual o conjunta sea superior al treinta por ciento (30%) del capital o patrimonio social y por el tiempo que la sanción se encuentre vigente.</w:t>
      </w:r>
    </w:p>
    <w:p w14:paraId="0AFE6BCF" w14:textId="77777777" w:rsidR="0087750C" w:rsidRPr="0087750C" w:rsidRDefault="0087750C" w:rsidP="0087750C">
      <w:pPr>
        <w:numPr>
          <w:ilvl w:val="0"/>
          <w:numId w:val="1"/>
        </w:numPr>
        <w:pBdr>
          <w:top w:val="nil"/>
          <w:left w:val="nil"/>
          <w:bottom w:val="nil"/>
          <w:right w:val="nil"/>
          <w:between w:val="nil"/>
        </w:pBdr>
        <w:spacing w:after="0" w:line="240" w:lineRule="auto"/>
        <w:ind w:left="567" w:hanging="207"/>
        <w:jc w:val="both"/>
        <w:rPr>
          <w:color w:val="3B3838" w:themeColor="background2" w:themeShade="40"/>
        </w:rPr>
      </w:pPr>
      <w:r w:rsidRPr="0087750C">
        <w:rPr>
          <w:rFonts w:ascii="Arial" w:eastAsia="Arial" w:hAnsi="Arial" w:cs="Arial"/>
          <w:color w:val="3B3838" w:themeColor="background2" w:themeShade="40"/>
          <w:sz w:val="14"/>
          <w:szCs w:val="14"/>
        </w:rPr>
        <w:t>En todo proceso de contratación, las personas naturales o jurídicas que se encuentren comprendidas en las Listas de Organismos Multilaterales de personas y empresas no elegibles para ser contratadas.</w:t>
      </w:r>
    </w:p>
    <w:p w14:paraId="4D58CAD3" w14:textId="0A24F0BB" w:rsidR="004D5EE8" w:rsidRPr="0087750C" w:rsidRDefault="0087750C" w:rsidP="00F1658C">
      <w:pPr>
        <w:spacing w:line="276" w:lineRule="auto"/>
        <w:rPr>
          <w:rFonts w:ascii="Arial" w:eastAsia="Times New Roman" w:hAnsi="Arial" w:cs="Arial"/>
          <w:color w:val="3B3838" w:themeColor="background2" w:themeShade="40"/>
          <w:sz w:val="20"/>
          <w:szCs w:val="20"/>
          <w:lang w:val="es-ES" w:eastAsia="es-ES"/>
        </w:rPr>
      </w:pPr>
      <w:r w:rsidRPr="0087750C">
        <w:rPr>
          <w:rFonts w:ascii="Arial" w:eastAsia="Arial" w:hAnsi="Arial" w:cs="Arial"/>
          <w:color w:val="3B3838" w:themeColor="background2" w:themeShade="40"/>
          <w:sz w:val="14"/>
          <w:szCs w:val="14"/>
        </w:rPr>
        <w:t>     11.2 El incumplimiento de lo establecido en el presente artículo conlleva las consecuencias y responsabilidades establecidas en la Ley.</w:t>
      </w:r>
    </w:p>
    <w:sectPr w:rsidR="004D5EE8" w:rsidRPr="0087750C" w:rsidSect="00394CD2">
      <w:pgSz w:w="11906" w:h="16838"/>
      <w:pgMar w:top="1417" w:right="1133"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80E31" w14:textId="77777777" w:rsidR="00E765CB" w:rsidRDefault="00E765CB" w:rsidP="00C2652E">
      <w:pPr>
        <w:spacing w:after="0" w:line="240" w:lineRule="auto"/>
      </w:pPr>
      <w:r>
        <w:separator/>
      </w:r>
    </w:p>
  </w:endnote>
  <w:endnote w:type="continuationSeparator" w:id="0">
    <w:p w14:paraId="3D15CAB1" w14:textId="77777777" w:rsidR="00E765CB" w:rsidRDefault="00E765CB" w:rsidP="00C26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BFF45" w14:textId="77777777" w:rsidR="00E765CB" w:rsidRDefault="00E765CB" w:rsidP="00C2652E">
      <w:pPr>
        <w:spacing w:after="0" w:line="240" w:lineRule="auto"/>
      </w:pPr>
      <w:r>
        <w:separator/>
      </w:r>
    </w:p>
  </w:footnote>
  <w:footnote w:type="continuationSeparator" w:id="0">
    <w:p w14:paraId="2DF834BC" w14:textId="77777777" w:rsidR="00E765CB" w:rsidRDefault="00E765CB" w:rsidP="00C26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85E8D"/>
    <w:multiLevelType w:val="multilevel"/>
    <w:tmpl w:val="3B34A280"/>
    <w:lvl w:ilvl="0">
      <w:start w:val="1"/>
      <w:numFmt w:val="lowerLetter"/>
      <w:lvlText w:val="%1)"/>
      <w:lvlJc w:val="left"/>
      <w:pPr>
        <w:ind w:left="720" w:hanging="360"/>
      </w:pPr>
      <w:rPr>
        <w:rFonts w:ascii="Arial" w:eastAsia="Arial" w:hAnsi="Arial" w:cs="Arial"/>
        <w:b w:val="0"/>
        <w:sz w:val="14"/>
        <w:szCs w:val="14"/>
      </w:r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553F3F"/>
    <w:multiLevelType w:val="multilevel"/>
    <w:tmpl w:val="2EF6D7C2"/>
    <w:lvl w:ilvl="0">
      <w:start w:val="1"/>
      <w:numFmt w:val="lowerLetter"/>
      <w:lvlText w:val="%1)"/>
      <w:lvlJc w:val="left"/>
      <w:pPr>
        <w:ind w:left="720" w:hanging="360"/>
      </w:pPr>
      <w:rPr>
        <w:rFonts w:ascii="Arial" w:eastAsia="Arial" w:hAnsi="Arial" w:cs="Arial"/>
        <w:b w:val="0"/>
        <w:sz w:val="14"/>
        <w:szCs w:val="1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2E"/>
    <w:rsid w:val="0002543F"/>
    <w:rsid w:val="00083011"/>
    <w:rsid w:val="00087DB1"/>
    <w:rsid w:val="000D5EF7"/>
    <w:rsid w:val="000E7078"/>
    <w:rsid w:val="00106DFB"/>
    <w:rsid w:val="00117676"/>
    <w:rsid w:val="00123CC1"/>
    <w:rsid w:val="00134D68"/>
    <w:rsid w:val="00143325"/>
    <w:rsid w:val="00162ED2"/>
    <w:rsid w:val="001E5B55"/>
    <w:rsid w:val="002112FF"/>
    <w:rsid w:val="00215686"/>
    <w:rsid w:val="002C3926"/>
    <w:rsid w:val="002E0FC3"/>
    <w:rsid w:val="002F6D0C"/>
    <w:rsid w:val="00302339"/>
    <w:rsid w:val="00304D0E"/>
    <w:rsid w:val="00325A45"/>
    <w:rsid w:val="00390698"/>
    <w:rsid w:val="00394CD2"/>
    <w:rsid w:val="00413D50"/>
    <w:rsid w:val="00423AD3"/>
    <w:rsid w:val="004B1E18"/>
    <w:rsid w:val="004C4C4D"/>
    <w:rsid w:val="004D25A9"/>
    <w:rsid w:val="004D5EE8"/>
    <w:rsid w:val="004D77C0"/>
    <w:rsid w:val="004F2610"/>
    <w:rsid w:val="00501AC6"/>
    <w:rsid w:val="0052444C"/>
    <w:rsid w:val="00525958"/>
    <w:rsid w:val="00552446"/>
    <w:rsid w:val="005A79C7"/>
    <w:rsid w:val="00603D89"/>
    <w:rsid w:val="00634F33"/>
    <w:rsid w:val="00647CCC"/>
    <w:rsid w:val="00662417"/>
    <w:rsid w:val="00667943"/>
    <w:rsid w:val="006B72CD"/>
    <w:rsid w:val="00722440"/>
    <w:rsid w:val="00791B9C"/>
    <w:rsid w:val="00796232"/>
    <w:rsid w:val="0087750C"/>
    <w:rsid w:val="00884856"/>
    <w:rsid w:val="008F0B04"/>
    <w:rsid w:val="00906268"/>
    <w:rsid w:val="00970515"/>
    <w:rsid w:val="009708BB"/>
    <w:rsid w:val="009967BF"/>
    <w:rsid w:val="009A4071"/>
    <w:rsid w:val="009E68A0"/>
    <w:rsid w:val="009F794F"/>
    <w:rsid w:val="00A270E3"/>
    <w:rsid w:val="00A36847"/>
    <w:rsid w:val="00A42173"/>
    <w:rsid w:val="00A634EE"/>
    <w:rsid w:val="00A83546"/>
    <w:rsid w:val="00B114B3"/>
    <w:rsid w:val="00B34A9D"/>
    <w:rsid w:val="00B40F5F"/>
    <w:rsid w:val="00BE5904"/>
    <w:rsid w:val="00BF0A40"/>
    <w:rsid w:val="00C02877"/>
    <w:rsid w:val="00C2652E"/>
    <w:rsid w:val="00C46825"/>
    <w:rsid w:val="00CD6F5E"/>
    <w:rsid w:val="00CF7243"/>
    <w:rsid w:val="00CF787C"/>
    <w:rsid w:val="00D10F58"/>
    <w:rsid w:val="00D239CC"/>
    <w:rsid w:val="00DA06EA"/>
    <w:rsid w:val="00DC1C3D"/>
    <w:rsid w:val="00DD03B3"/>
    <w:rsid w:val="00E0289B"/>
    <w:rsid w:val="00E1118A"/>
    <w:rsid w:val="00E21990"/>
    <w:rsid w:val="00E72693"/>
    <w:rsid w:val="00E765CB"/>
    <w:rsid w:val="00EA0A39"/>
    <w:rsid w:val="00EB39E1"/>
    <w:rsid w:val="00F00417"/>
    <w:rsid w:val="00F1658C"/>
    <w:rsid w:val="00F54046"/>
    <w:rsid w:val="00FF50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632BD8E"/>
  <w15:chartTrackingRefBased/>
  <w15:docId w15:val="{00C8FB38-95B5-4676-9D79-A3B1741E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52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5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52E"/>
    <w:rPr>
      <w:rFonts w:ascii="Segoe UI" w:hAnsi="Segoe UI" w:cs="Segoe UI"/>
      <w:sz w:val="18"/>
      <w:szCs w:val="18"/>
    </w:rPr>
  </w:style>
  <w:style w:type="table" w:styleId="TableGrid">
    <w:name w:val="Table Grid"/>
    <w:basedOn w:val="TableNormal"/>
    <w:uiPriority w:val="39"/>
    <w:rsid w:val="002F6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6D0C"/>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6D0C"/>
    <w:rPr>
      <w:rFonts w:ascii="Calibri" w:eastAsia="Calibri" w:hAnsi="Calibri" w:cs="Times New Roman"/>
    </w:rPr>
  </w:style>
  <w:style w:type="paragraph" w:styleId="Footer">
    <w:name w:val="footer"/>
    <w:basedOn w:val="Normal"/>
    <w:link w:val="FooterChar"/>
    <w:uiPriority w:val="99"/>
    <w:unhideWhenUsed/>
    <w:rsid w:val="002F6D0C"/>
    <w:pPr>
      <w:tabs>
        <w:tab w:val="center" w:pos="4419"/>
        <w:tab w:val="right" w:pos="8838"/>
      </w:tabs>
      <w:spacing w:after="0" w:line="240" w:lineRule="auto"/>
    </w:pPr>
  </w:style>
  <w:style w:type="character" w:customStyle="1" w:styleId="FooterChar">
    <w:name w:val="Footer Char"/>
    <w:basedOn w:val="DefaultParagraphFont"/>
    <w:link w:val="Footer"/>
    <w:uiPriority w:val="99"/>
    <w:rsid w:val="002F6D0C"/>
    <w:rPr>
      <w:rFonts w:ascii="Calibri" w:eastAsia="Calibri" w:hAnsi="Calibri" w:cs="Times New Roman"/>
    </w:rPr>
  </w:style>
  <w:style w:type="paragraph" w:styleId="FootnoteText">
    <w:name w:val="footnote text"/>
    <w:basedOn w:val="Normal"/>
    <w:link w:val="FootnoteTextChar"/>
    <w:uiPriority w:val="99"/>
    <w:semiHidden/>
    <w:unhideWhenUsed/>
    <w:rsid w:val="002F6D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D0C"/>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2F6D0C"/>
    <w:rPr>
      <w:vertAlign w:val="superscript"/>
    </w:rPr>
  </w:style>
  <w:style w:type="paragraph" w:styleId="EndnoteText">
    <w:name w:val="endnote text"/>
    <w:basedOn w:val="Normal"/>
    <w:link w:val="EndnoteTextChar"/>
    <w:uiPriority w:val="99"/>
    <w:semiHidden/>
    <w:unhideWhenUsed/>
    <w:rsid w:val="00EB39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39E1"/>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EB39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C2EE0-F4AC-4D1C-8F18-96DA8F8D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1705</Words>
  <Characters>9380</Characters>
  <Application>Microsoft Office Word</Application>
  <DocSecurity>0</DocSecurity>
  <Lines>78</Lines>
  <Paragraphs>22</Paragraphs>
  <ScaleCrop>false</ScaleCrop>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Denisse Mendiola Escudero</dc:creator>
  <cp:keywords/>
  <dc:description/>
  <cp:lastModifiedBy>Usuario de Windows</cp:lastModifiedBy>
  <cp:revision>87</cp:revision>
  <dcterms:created xsi:type="dcterms:W3CDTF">2020-06-25T20:56:00Z</dcterms:created>
  <dcterms:modified xsi:type="dcterms:W3CDTF">2020-07-02T22:17:00Z</dcterms:modified>
</cp:coreProperties>
</file>