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C4D42E" w14:textId="1D546389" w:rsidR="00575498" w:rsidRPr="00BB7899" w:rsidRDefault="001D6614" w:rsidP="00CF1F2F">
      <w:pPr>
        <w:pStyle w:val="p1"/>
        <w:rPr>
          <w:rFonts w:ascii="Baskerville" w:hAnsi="Baskerville"/>
          <w:b/>
          <w:sz w:val="24"/>
          <w:szCs w:val="24"/>
        </w:rPr>
      </w:pPr>
      <w:r w:rsidRPr="00BB7899">
        <w:rPr>
          <w:rFonts w:ascii="Baskerville" w:hAnsi="Baskerville"/>
          <w:b/>
          <w:sz w:val="24"/>
          <w:szCs w:val="24"/>
        </w:rPr>
        <w:t>Part (1)</w:t>
      </w:r>
    </w:p>
    <w:p w14:paraId="52007BE7" w14:textId="365E0D47" w:rsidR="00CF1F2F" w:rsidRPr="00BB7899" w:rsidRDefault="00CF1F2F" w:rsidP="004C7B41">
      <w:pPr>
        <w:ind w:firstLine="720"/>
        <w:rPr>
          <w:rFonts w:ascii="Baskerville" w:hAnsi="Baskerville"/>
        </w:rPr>
      </w:pPr>
      <w:r w:rsidRPr="00BB7899">
        <w:rPr>
          <w:rFonts w:ascii="Baskerville" w:hAnsi="Baskerville"/>
        </w:rPr>
        <w:t>The e</w:t>
      </w:r>
      <w:r w:rsidR="004C7B41" w:rsidRPr="00BB7899">
        <w:rPr>
          <w:rFonts w:ascii="Baskerville" w:hAnsi="Baskerville"/>
        </w:rPr>
        <w:t xml:space="preserve">xperiment that I have chosen to discuss is the “Sentiment and Topic Tagging” survey. From the preview of the survey, the experimenters are attempting to test our reaction to the tweets about a movie or a TV show. Specifically, after reading a tweet about a TV show or movie, respondents answer 3 items: Firstly, the sentiment of the text (from a range of positive to negative items), the emotion expressed in the text (nine types of emotions like joy), and lastly, what the tweet is about (movie/show, actor/character, plot, or unsure). </w:t>
      </w:r>
      <w:r w:rsidR="00EC4AE1" w:rsidRPr="00BB7899">
        <w:rPr>
          <w:rFonts w:ascii="Baskerville" w:hAnsi="Baskerville"/>
        </w:rPr>
        <w:t xml:space="preserve">Respondents are paid 0.05 </w:t>
      </w:r>
      <w:r w:rsidR="004B394D" w:rsidRPr="00BB7899">
        <w:rPr>
          <w:rFonts w:ascii="Baskerville" w:hAnsi="Baskerville"/>
        </w:rPr>
        <w:t>for participating in the survey</w:t>
      </w:r>
      <w:r w:rsidR="009675B6" w:rsidRPr="00BB7899">
        <w:rPr>
          <w:rFonts w:ascii="Baskerville" w:hAnsi="Baskerville"/>
        </w:rPr>
        <w:t>. N</w:t>
      </w:r>
      <w:r w:rsidR="004B394D" w:rsidRPr="00BB7899">
        <w:rPr>
          <w:rFonts w:ascii="Baskerville" w:hAnsi="Baskerville"/>
        </w:rPr>
        <w:t>o further information on the payment structure is provided.</w:t>
      </w:r>
      <w:r w:rsidR="00EC4AE1" w:rsidRPr="00BB7899">
        <w:rPr>
          <w:rFonts w:ascii="Baskerville" w:hAnsi="Baskerville"/>
        </w:rPr>
        <w:t xml:space="preserve"> In terms of qualifications, respondents must be </w:t>
      </w:r>
      <w:r w:rsidR="002E680E" w:rsidRPr="00BB7899">
        <w:rPr>
          <w:rFonts w:ascii="Baskerville" w:hAnsi="Baskerville"/>
        </w:rPr>
        <w:t>from</w:t>
      </w:r>
      <w:r w:rsidR="00226991" w:rsidRPr="00BB7899">
        <w:rPr>
          <w:rFonts w:ascii="Baskerville" w:hAnsi="Baskerville"/>
        </w:rPr>
        <w:t xml:space="preserve"> the </w:t>
      </w:r>
      <w:r w:rsidR="002E680E" w:rsidRPr="00BB7899">
        <w:rPr>
          <w:rFonts w:ascii="Baskerville" w:hAnsi="Baskerville"/>
        </w:rPr>
        <w:t xml:space="preserve">list of </w:t>
      </w:r>
      <w:r w:rsidR="00226991" w:rsidRPr="00BB7899">
        <w:rPr>
          <w:rFonts w:ascii="Baskerville" w:hAnsi="Baskerville"/>
        </w:rPr>
        <w:t xml:space="preserve">pre-determined set of countries: Australia, Great Britain, India, New Zealand, </w:t>
      </w:r>
      <w:r w:rsidR="00200365" w:rsidRPr="00BB7899">
        <w:rPr>
          <w:rFonts w:ascii="Baskerville" w:hAnsi="Baskerville"/>
        </w:rPr>
        <w:t>Ireland, Israel, Netherlands, Poland and South Africa. Additionally, the approval rate of the respondent must be greater than 90%. The respondent’s total approved HITs must also be greater than 100 and respondents are required to take a short pre-test qualification survey</w:t>
      </w:r>
      <w:r w:rsidR="002E680E" w:rsidRPr="00BB7899">
        <w:rPr>
          <w:rFonts w:ascii="Baskerville" w:hAnsi="Baskerville"/>
        </w:rPr>
        <w:t>. The time allotted for this survey is 20 minutes, as such</w:t>
      </w:r>
      <w:r w:rsidR="00D7548F" w:rsidRPr="00BB7899">
        <w:rPr>
          <w:rFonts w:ascii="Baskerville" w:hAnsi="Baskerville"/>
        </w:rPr>
        <w:t>,</w:t>
      </w:r>
      <w:r w:rsidR="002E680E" w:rsidRPr="00BB7899">
        <w:rPr>
          <w:rFonts w:ascii="Baskerville" w:hAnsi="Baskerville"/>
        </w:rPr>
        <w:t xml:space="preserve"> the implied hourly rate is $0.15/hour. This job expires in 2 days</w:t>
      </w:r>
      <w:r w:rsidR="00DF5006" w:rsidRPr="00BB7899">
        <w:rPr>
          <w:rFonts w:ascii="Baskerville" w:hAnsi="Baskerville"/>
        </w:rPr>
        <w:t>, on Wednesday, November 7</w:t>
      </w:r>
      <w:r w:rsidR="002E680E" w:rsidRPr="00BB7899">
        <w:rPr>
          <w:rFonts w:ascii="Baskerville" w:hAnsi="Baskerville"/>
        </w:rPr>
        <w:t xml:space="preserve">. If one million people participated in the task, </w:t>
      </w:r>
      <w:r w:rsidR="00E14282" w:rsidRPr="00BB7899">
        <w:rPr>
          <w:rFonts w:ascii="Baskerville" w:hAnsi="Baskerville"/>
        </w:rPr>
        <w:t>it would cost the</w:t>
      </w:r>
      <w:r w:rsidR="002E680E" w:rsidRPr="00BB7899">
        <w:rPr>
          <w:rFonts w:ascii="Baskerville" w:hAnsi="Baskerville"/>
        </w:rPr>
        <w:t xml:space="preserve"> HIT experimenter $50,000. </w:t>
      </w:r>
    </w:p>
    <w:p w14:paraId="2BF2D1BA" w14:textId="77777777" w:rsidR="00DD79B0" w:rsidRPr="00BB7899" w:rsidRDefault="00DD79B0" w:rsidP="001D6614">
      <w:pPr>
        <w:rPr>
          <w:rFonts w:ascii="Baskerville" w:hAnsi="Baskerville"/>
        </w:rPr>
      </w:pPr>
    </w:p>
    <w:p w14:paraId="273EFB8D" w14:textId="36451D53" w:rsidR="001D6614" w:rsidRPr="00BB7899" w:rsidRDefault="001D6614" w:rsidP="001D6614">
      <w:pPr>
        <w:rPr>
          <w:rFonts w:ascii="Baskerville" w:hAnsi="Baskerville"/>
          <w:b/>
        </w:rPr>
      </w:pPr>
      <w:r w:rsidRPr="00BB7899">
        <w:rPr>
          <w:rFonts w:ascii="Baskerville" w:hAnsi="Baskerville"/>
          <w:b/>
        </w:rPr>
        <w:t>Part (2)</w:t>
      </w:r>
    </w:p>
    <w:p w14:paraId="245666B0" w14:textId="045B9B0F" w:rsidR="00613AE9" w:rsidRPr="00BB7899" w:rsidRDefault="00C65A2A" w:rsidP="002D11E5">
      <w:pPr>
        <w:pStyle w:val="p1"/>
        <w:ind w:firstLine="720"/>
        <w:rPr>
          <w:rFonts w:ascii="Baskerville" w:hAnsi="Baskerville"/>
          <w:sz w:val="24"/>
          <w:szCs w:val="24"/>
        </w:rPr>
      </w:pPr>
      <w:r w:rsidRPr="00BB7899">
        <w:rPr>
          <w:rFonts w:ascii="Baskerville" w:hAnsi="Baskerville"/>
          <w:sz w:val="24"/>
          <w:szCs w:val="24"/>
        </w:rPr>
        <w:t>Costa and Kahn</w:t>
      </w:r>
      <w:r w:rsidR="00BB7899" w:rsidRPr="00BB7899">
        <w:rPr>
          <w:rFonts w:ascii="Baskerville" w:hAnsi="Baskerville"/>
          <w:sz w:val="24"/>
          <w:szCs w:val="24"/>
        </w:rPr>
        <w:t xml:space="preserve"> (2013)</w:t>
      </w:r>
      <w:r w:rsidRPr="00BB7899">
        <w:rPr>
          <w:rFonts w:ascii="Baskerville" w:hAnsi="Baskerville"/>
          <w:sz w:val="24"/>
          <w:szCs w:val="24"/>
        </w:rPr>
        <w:t xml:space="preserve"> </w:t>
      </w:r>
      <w:r w:rsidR="000D224B" w:rsidRPr="00BB7899">
        <w:rPr>
          <w:rFonts w:ascii="Baskerville" w:hAnsi="Baskerville"/>
          <w:sz w:val="24"/>
          <w:szCs w:val="24"/>
        </w:rPr>
        <w:t>explore</w:t>
      </w:r>
      <w:r w:rsidRPr="00BB7899">
        <w:rPr>
          <w:rFonts w:ascii="Baskerville" w:hAnsi="Baskerville"/>
          <w:sz w:val="24"/>
          <w:szCs w:val="24"/>
        </w:rPr>
        <w:t xml:space="preserve"> the following research question:</w:t>
      </w:r>
      <w:r w:rsidR="00B43F35" w:rsidRPr="00BB7899">
        <w:rPr>
          <w:rFonts w:ascii="Baskerville" w:hAnsi="Baskerville"/>
          <w:sz w:val="24"/>
          <w:szCs w:val="24"/>
        </w:rPr>
        <w:t xml:space="preserve"> </w:t>
      </w:r>
      <w:r w:rsidR="00F077E6" w:rsidRPr="00BB7899">
        <w:rPr>
          <w:rFonts w:ascii="Baskerville" w:hAnsi="Baskerville"/>
          <w:sz w:val="24"/>
          <w:szCs w:val="24"/>
        </w:rPr>
        <w:t>does political ideology have an inf</w:t>
      </w:r>
      <w:r w:rsidRPr="00BB7899">
        <w:rPr>
          <w:rFonts w:ascii="Baskerville" w:hAnsi="Baskerville"/>
          <w:sz w:val="24"/>
          <w:szCs w:val="24"/>
        </w:rPr>
        <w:t>luence on the</w:t>
      </w:r>
      <w:r w:rsidR="006F15E9" w:rsidRPr="00BB7899">
        <w:rPr>
          <w:rFonts w:ascii="Baskerville" w:hAnsi="Baskerville"/>
          <w:sz w:val="24"/>
          <w:szCs w:val="24"/>
        </w:rPr>
        <w:t xml:space="preserve"> participants’</w:t>
      </w:r>
      <w:r w:rsidR="00D7548F" w:rsidRPr="00BB7899">
        <w:rPr>
          <w:rFonts w:ascii="Baskerville" w:hAnsi="Baskerville"/>
          <w:sz w:val="24"/>
          <w:szCs w:val="24"/>
        </w:rPr>
        <w:t xml:space="preserve"> receptiveness to</w:t>
      </w:r>
      <w:r w:rsidR="006F15E9" w:rsidRPr="00BB7899">
        <w:rPr>
          <w:rFonts w:ascii="Baskerville" w:hAnsi="Baskerville"/>
          <w:sz w:val="24"/>
          <w:szCs w:val="24"/>
        </w:rPr>
        <w:t xml:space="preserve"> a</w:t>
      </w:r>
      <w:r w:rsidR="00F077E6" w:rsidRPr="00BB7899">
        <w:rPr>
          <w:rFonts w:ascii="Baskerville" w:hAnsi="Baskerville"/>
          <w:sz w:val="24"/>
          <w:szCs w:val="24"/>
        </w:rPr>
        <w:t xml:space="preserve"> “</w:t>
      </w:r>
      <w:r w:rsidRPr="00BB7899">
        <w:rPr>
          <w:rFonts w:ascii="Baskerville" w:hAnsi="Baskerville"/>
          <w:sz w:val="24"/>
          <w:szCs w:val="24"/>
        </w:rPr>
        <w:t>nudge</w:t>
      </w:r>
      <w:r w:rsidR="00F077E6" w:rsidRPr="00BB7899">
        <w:rPr>
          <w:rFonts w:ascii="Baskerville" w:hAnsi="Baskerville"/>
          <w:sz w:val="24"/>
          <w:szCs w:val="24"/>
        </w:rPr>
        <w:t>”</w:t>
      </w:r>
      <w:r w:rsidR="006F15E9" w:rsidRPr="00BB7899">
        <w:rPr>
          <w:rFonts w:ascii="Baskerville" w:hAnsi="Baskerville"/>
          <w:sz w:val="24"/>
          <w:szCs w:val="24"/>
        </w:rPr>
        <w:t xml:space="preserve"> about electricity conservation</w:t>
      </w:r>
      <w:r w:rsidRPr="00BB7899">
        <w:rPr>
          <w:rFonts w:ascii="Baskerville" w:hAnsi="Baskerville"/>
          <w:sz w:val="24"/>
          <w:szCs w:val="24"/>
        </w:rPr>
        <w:t>? The main dataset for this study is the residential billing data fro</w:t>
      </w:r>
      <w:r w:rsidR="000D224B" w:rsidRPr="00BB7899">
        <w:rPr>
          <w:rFonts w:ascii="Baskerville" w:hAnsi="Baskerville"/>
          <w:sz w:val="24"/>
          <w:szCs w:val="24"/>
        </w:rPr>
        <w:t>m January 2007 to October 2009, which contains “information on Kilowatt hours purchased per billing cycle, the length of the billing cycle (measured in days), whether the house use electric heat and whether the household is enrolled in the electric utility’s program to purchase energy from renewable sources</w:t>
      </w:r>
      <w:r w:rsidR="00973810" w:rsidRPr="00BB7899">
        <w:rPr>
          <w:rFonts w:ascii="Baskerville" w:hAnsi="Baskerville"/>
          <w:sz w:val="24"/>
          <w:szCs w:val="24"/>
        </w:rPr>
        <w:t>”</w:t>
      </w:r>
      <w:r w:rsidR="000D224B" w:rsidRPr="00BB7899">
        <w:rPr>
          <w:rFonts w:ascii="Baskerville" w:hAnsi="Baskerville"/>
          <w:sz w:val="24"/>
          <w:szCs w:val="24"/>
        </w:rPr>
        <w:t xml:space="preserve">. </w:t>
      </w:r>
      <w:r w:rsidR="00BB7899" w:rsidRPr="00BB7899">
        <w:rPr>
          <w:rFonts w:ascii="Baskerville" w:hAnsi="Baskerville"/>
          <w:sz w:val="24"/>
          <w:szCs w:val="24"/>
        </w:rPr>
        <w:t xml:space="preserve">They linked this data to the treatment and control data that contains “information on when the household began to receive the HERs, as well as information on the square footage of the house, information on whether the home heats with electricity or natural gas, and the age of the house”. </w:t>
      </w:r>
      <w:r w:rsidR="005F3FD0" w:rsidRPr="00BB7899">
        <w:rPr>
          <w:rFonts w:ascii="Baskerville" w:hAnsi="Baskerville"/>
          <w:sz w:val="24"/>
          <w:szCs w:val="24"/>
        </w:rPr>
        <w:t xml:space="preserve">They also merged </w:t>
      </w:r>
      <w:r w:rsidR="00573983" w:rsidRPr="00BB7899">
        <w:rPr>
          <w:rFonts w:ascii="Baskerville" w:hAnsi="Baskerville"/>
          <w:sz w:val="24"/>
          <w:szCs w:val="24"/>
        </w:rPr>
        <w:t>a dataset of individual voter registration and marketing data for March 2009</w:t>
      </w:r>
      <w:r w:rsidR="00B30172" w:rsidRPr="00BB7899">
        <w:rPr>
          <w:rFonts w:ascii="Baskerville" w:hAnsi="Baskerville"/>
          <w:sz w:val="24"/>
          <w:szCs w:val="24"/>
        </w:rPr>
        <w:t>, which provides information on party affiliation, and whether the individual</w:t>
      </w:r>
      <w:r w:rsidR="002D11E5">
        <w:rPr>
          <w:rFonts w:ascii="Baskerville" w:hAnsi="Baskerville"/>
          <w:sz w:val="24"/>
          <w:szCs w:val="24"/>
        </w:rPr>
        <w:t xml:space="preserve"> </w:t>
      </w:r>
      <w:r w:rsidR="00B30172" w:rsidRPr="00BB7899">
        <w:rPr>
          <w:rFonts w:ascii="Baskerville" w:hAnsi="Baskerville"/>
          <w:sz w:val="24"/>
          <w:szCs w:val="24"/>
        </w:rPr>
        <w:t xml:space="preserve">donates to environmental organizations. </w:t>
      </w:r>
      <w:r w:rsidR="009F5A88" w:rsidRPr="00BB7899">
        <w:rPr>
          <w:rFonts w:ascii="Baskerville" w:hAnsi="Baskerville"/>
          <w:sz w:val="24"/>
          <w:szCs w:val="24"/>
        </w:rPr>
        <w:t>They merged another dataset of the share of registered voters who were liberal in 200</w:t>
      </w:r>
      <w:r w:rsidR="00D62B7C">
        <w:rPr>
          <w:rFonts w:ascii="Baskerville" w:hAnsi="Baskerville"/>
        </w:rPr>
        <w:t>0</w:t>
      </w:r>
      <w:r w:rsidR="009F5A88" w:rsidRPr="00BB7899">
        <w:rPr>
          <w:rFonts w:ascii="Baskerville" w:hAnsi="Baskerville"/>
          <w:sz w:val="24"/>
          <w:szCs w:val="24"/>
        </w:rPr>
        <w:t xml:space="preserve"> and the share of the college educated, sorted by the census block group. They also included an ancillary data set which includes the household attitudes about the HER by </w:t>
      </w:r>
      <w:r w:rsidR="00BB7899" w:rsidRPr="00BB7899">
        <w:rPr>
          <w:rFonts w:ascii="Baskerville" w:hAnsi="Baskerville"/>
          <w:sz w:val="24"/>
          <w:szCs w:val="24"/>
        </w:rPr>
        <w:t>ideology</w:t>
      </w:r>
      <w:r w:rsidR="009F5A88" w:rsidRPr="00BB7899">
        <w:rPr>
          <w:rFonts w:ascii="Baskerville" w:hAnsi="Baskerville"/>
          <w:sz w:val="24"/>
          <w:szCs w:val="24"/>
        </w:rPr>
        <w:t xml:space="preserve">. </w:t>
      </w:r>
    </w:p>
    <w:p w14:paraId="5D965451" w14:textId="7F8BDF30" w:rsidR="00DE17D8" w:rsidRPr="00BB7899" w:rsidRDefault="00D7730B" w:rsidP="004454A5">
      <w:pPr>
        <w:pStyle w:val="p1"/>
        <w:ind w:firstLine="720"/>
        <w:rPr>
          <w:rFonts w:ascii="Baskerville" w:hAnsi="Baskerville"/>
          <w:sz w:val="24"/>
          <w:szCs w:val="24"/>
        </w:rPr>
      </w:pPr>
      <w:r w:rsidRPr="00BB7899">
        <w:rPr>
          <w:rFonts w:ascii="Baskerville" w:hAnsi="Baskerville"/>
          <w:sz w:val="24"/>
          <w:szCs w:val="24"/>
        </w:rPr>
        <w:t xml:space="preserve">The treatment group consists of 35,000 households that received a Home Energy Report (HER), which includes specific information on “own monthly electricity usage over time and relative to </w:t>
      </w:r>
      <w:proofErr w:type="spellStart"/>
      <w:r w:rsidRPr="00BB7899">
        <w:rPr>
          <w:rFonts w:ascii="Baskerville" w:hAnsi="Baskerville"/>
          <w:sz w:val="24"/>
          <w:szCs w:val="24"/>
        </w:rPr>
        <w:t>neighbors’</w:t>
      </w:r>
      <w:proofErr w:type="spellEnd"/>
      <w:r w:rsidRPr="00BB7899">
        <w:rPr>
          <w:rFonts w:ascii="Baskerville" w:hAnsi="Baskerville"/>
          <w:sz w:val="24"/>
          <w:szCs w:val="24"/>
        </w:rPr>
        <w:t xml:space="preserve"> usage over the same time period”, and “energy saving tips”. The control group consists of 49,000 households that did not receive a HER.</w:t>
      </w:r>
    </w:p>
    <w:p w14:paraId="0D5338FC" w14:textId="495852A2" w:rsidR="00F95E33" w:rsidRPr="00BB7899" w:rsidRDefault="00CD4D45" w:rsidP="00401DFC">
      <w:pPr>
        <w:pStyle w:val="p1"/>
        <w:rPr>
          <w:rFonts w:ascii="Baskerville" w:hAnsi="Baskerville"/>
          <w:sz w:val="24"/>
          <w:szCs w:val="24"/>
        </w:rPr>
      </w:pPr>
      <w:r w:rsidRPr="00BB7899">
        <w:rPr>
          <w:rFonts w:ascii="Baskerville" w:hAnsi="Baskerville"/>
          <w:sz w:val="24"/>
          <w:szCs w:val="24"/>
        </w:rPr>
        <w:tab/>
        <w:t>Beyond Schultz et al. (2007), Costa</w:t>
      </w:r>
      <w:r w:rsidR="00401DFC" w:rsidRPr="00BB7899">
        <w:rPr>
          <w:rFonts w:ascii="Baskerville" w:hAnsi="Baskerville"/>
          <w:sz w:val="24"/>
          <w:szCs w:val="24"/>
        </w:rPr>
        <w:t xml:space="preserve"> and Kahn</w:t>
      </w:r>
      <w:r w:rsidR="00D62B7C">
        <w:rPr>
          <w:rFonts w:ascii="Baskerville" w:hAnsi="Baskerville"/>
          <w:sz w:val="24"/>
          <w:szCs w:val="24"/>
        </w:rPr>
        <w:t xml:space="preserve"> (2013)</w:t>
      </w:r>
      <w:r w:rsidR="000E29D2">
        <w:rPr>
          <w:rFonts w:ascii="Baskerville" w:hAnsi="Baskerville"/>
          <w:sz w:val="24"/>
          <w:szCs w:val="24"/>
        </w:rPr>
        <w:t xml:space="preserve"> also controlled for other variables like if</w:t>
      </w:r>
      <w:r w:rsidRPr="00BB7899">
        <w:rPr>
          <w:rFonts w:ascii="Baskerville" w:hAnsi="Baskerville"/>
          <w:sz w:val="24"/>
          <w:szCs w:val="24"/>
        </w:rPr>
        <w:t xml:space="preserve"> the househo</w:t>
      </w:r>
      <w:r w:rsidR="00E86924" w:rsidRPr="00BB7899">
        <w:rPr>
          <w:rFonts w:ascii="Baskerville" w:hAnsi="Baskerville"/>
          <w:sz w:val="24"/>
          <w:szCs w:val="24"/>
        </w:rPr>
        <w:t>ld’s house is an electric</w:t>
      </w:r>
      <w:r w:rsidR="000E29D2">
        <w:rPr>
          <w:rFonts w:ascii="Baskerville" w:hAnsi="Baskerville"/>
          <w:sz w:val="24"/>
          <w:szCs w:val="24"/>
        </w:rPr>
        <w:t xml:space="preserve"> house and the mean daily temperature </w:t>
      </w:r>
      <w:r w:rsidR="002D11E5">
        <w:rPr>
          <w:rFonts w:ascii="Baskerville" w:hAnsi="Baskerville"/>
          <w:sz w:val="24"/>
          <w:szCs w:val="24"/>
        </w:rPr>
        <w:t>within the billing cycle, and</w:t>
      </w:r>
      <w:r w:rsidR="000E29D2">
        <w:rPr>
          <w:rFonts w:ascii="Baskerville" w:hAnsi="Baskerville"/>
          <w:sz w:val="24"/>
          <w:szCs w:val="24"/>
        </w:rPr>
        <w:t xml:space="preserve"> individual, house and block characteristics.</w:t>
      </w:r>
    </w:p>
    <w:p w14:paraId="346B9434" w14:textId="054DE67F" w:rsidR="00DD79B0" w:rsidRPr="00BB7899" w:rsidRDefault="002D11E5" w:rsidP="002D11E5">
      <w:pPr>
        <w:pStyle w:val="p1"/>
        <w:ind w:firstLine="720"/>
        <w:rPr>
          <w:rFonts w:ascii="Baskerville" w:hAnsi="Baskerville"/>
          <w:sz w:val="24"/>
          <w:szCs w:val="24"/>
        </w:rPr>
      </w:pPr>
      <w:r>
        <w:rPr>
          <w:rFonts w:ascii="Baskerville" w:hAnsi="Baskerville"/>
          <w:sz w:val="24"/>
          <w:szCs w:val="24"/>
        </w:rPr>
        <w:t>C</w:t>
      </w:r>
      <w:r w:rsidR="00D62B7C">
        <w:rPr>
          <w:rFonts w:ascii="Baskerville" w:hAnsi="Baskerville"/>
          <w:sz w:val="24"/>
          <w:szCs w:val="24"/>
        </w:rPr>
        <w:t>osta and Kahn (2013)</w:t>
      </w:r>
      <w:r w:rsidR="00B51428" w:rsidRPr="00BB7899">
        <w:rPr>
          <w:rFonts w:ascii="Baskerville" w:hAnsi="Baskerville"/>
          <w:sz w:val="24"/>
          <w:szCs w:val="24"/>
        </w:rPr>
        <w:t xml:space="preserve"> found that </w:t>
      </w:r>
      <w:r w:rsidR="00847E81" w:rsidRPr="00BB7899">
        <w:rPr>
          <w:rFonts w:ascii="Baskerville" w:hAnsi="Baskerville"/>
          <w:sz w:val="24"/>
          <w:szCs w:val="24"/>
        </w:rPr>
        <w:t xml:space="preserve">political ideology, whether measured by political party </w:t>
      </w:r>
      <w:r w:rsidR="00580251" w:rsidRPr="00BB7899">
        <w:rPr>
          <w:rFonts w:ascii="Baskerville" w:hAnsi="Baskerville"/>
          <w:sz w:val="24"/>
          <w:szCs w:val="24"/>
        </w:rPr>
        <w:t>affiliation</w:t>
      </w:r>
      <w:r w:rsidR="00847E81" w:rsidRPr="00BB7899">
        <w:rPr>
          <w:rFonts w:ascii="Baskerville" w:hAnsi="Baskerville"/>
          <w:sz w:val="24"/>
          <w:szCs w:val="24"/>
        </w:rPr>
        <w:t xml:space="preserve">, donations to environmental organizations or the purchase of energy, </w:t>
      </w:r>
      <w:r w:rsidR="007F155D" w:rsidRPr="00BB7899">
        <w:rPr>
          <w:rFonts w:ascii="Baskerville" w:hAnsi="Baskerville"/>
          <w:sz w:val="24"/>
          <w:szCs w:val="24"/>
        </w:rPr>
        <w:t xml:space="preserve">is associated with different treatment effects. </w:t>
      </w:r>
      <w:r w:rsidR="003905F8" w:rsidRPr="00BB7899">
        <w:rPr>
          <w:rFonts w:ascii="Baskerville" w:hAnsi="Baskerville"/>
          <w:sz w:val="24"/>
          <w:szCs w:val="24"/>
        </w:rPr>
        <w:t>Specifically,</w:t>
      </w:r>
      <w:r w:rsidR="00D25207" w:rsidRPr="00BB7899">
        <w:rPr>
          <w:rFonts w:ascii="Baskerville" w:hAnsi="Baskerville"/>
          <w:sz w:val="24"/>
          <w:szCs w:val="24"/>
        </w:rPr>
        <w:t xml:space="preserve"> they found that there is a statistically significant difference </w:t>
      </w:r>
      <w:r w:rsidR="006E7B7B" w:rsidRPr="00BB7899">
        <w:rPr>
          <w:rFonts w:ascii="Baskerville" w:hAnsi="Baskerville"/>
          <w:sz w:val="24"/>
          <w:szCs w:val="24"/>
        </w:rPr>
        <w:t xml:space="preserve">in the kWh reduction </w:t>
      </w:r>
      <w:r w:rsidR="00D25207" w:rsidRPr="00BB7899">
        <w:rPr>
          <w:rFonts w:ascii="Baskerville" w:hAnsi="Baskerville"/>
          <w:sz w:val="24"/>
          <w:szCs w:val="24"/>
        </w:rPr>
        <w:t>between</w:t>
      </w:r>
      <w:r w:rsidR="003905F8" w:rsidRPr="00BB7899">
        <w:rPr>
          <w:rFonts w:ascii="Baskerville" w:hAnsi="Baskerville"/>
          <w:sz w:val="24"/>
          <w:szCs w:val="24"/>
        </w:rPr>
        <w:t xml:space="preserve"> household heads who are registered liberals (compared to registered conservatives),</w:t>
      </w:r>
      <w:r w:rsidR="00A27641" w:rsidRPr="00BB7899">
        <w:rPr>
          <w:rFonts w:ascii="Baskerville" w:hAnsi="Baskerville"/>
          <w:sz w:val="24"/>
          <w:szCs w:val="24"/>
        </w:rPr>
        <w:t xml:space="preserve"> purchase energy from renewable sources </w:t>
      </w:r>
      <w:r w:rsidR="00D25207" w:rsidRPr="00BB7899">
        <w:rPr>
          <w:rFonts w:ascii="Baskerville" w:hAnsi="Baskerville"/>
          <w:sz w:val="24"/>
          <w:szCs w:val="24"/>
        </w:rPr>
        <w:t xml:space="preserve">(compared to those who do not) </w:t>
      </w:r>
      <w:r w:rsidR="00A27641" w:rsidRPr="00BB7899">
        <w:rPr>
          <w:rFonts w:ascii="Baskerville" w:hAnsi="Baskerville"/>
          <w:sz w:val="24"/>
          <w:szCs w:val="24"/>
        </w:rPr>
        <w:t>and who donate to environmental organizations</w:t>
      </w:r>
      <w:r w:rsidR="003905F8" w:rsidRPr="00BB7899">
        <w:rPr>
          <w:rFonts w:ascii="Baskerville" w:hAnsi="Baskerville"/>
          <w:sz w:val="24"/>
          <w:szCs w:val="24"/>
        </w:rPr>
        <w:t xml:space="preserve"> </w:t>
      </w:r>
      <w:r w:rsidR="00D25207" w:rsidRPr="00BB7899">
        <w:rPr>
          <w:rFonts w:ascii="Baskerville" w:hAnsi="Baskerville"/>
          <w:sz w:val="24"/>
          <w:szCs w:val="24"/>
        </w:rPr>
        <w:t>(compared to th</w:t>
      </w:r>
      <w:r w:rsidR="0097159A" w:rsidRPr="00BB7899">
        <w:rPr>
          <w:rFonts w:ascii="Baskerville" w:hAnsi="Baskerville"/>
          <w:sz w:val="24"/>
          <w:szCs w:val="24"/>
        </w:rPr>
        <w:t>o</w:t>
      </w:r>
      <w:r w:rsidR="00E86924" w:rsidRPr="00BB7899">
        <w:rPr>
          <w:rFonts w:ascii="Baskerville" w:hAnsi="Baskerville"/>
          <w:sz w:val="24"/>
          <w:szCs w:val="24"/>
        </w:rPr>
        <w:t>se who do not), with those who are liberals lowering their electricity</w:t>
      </w:r>
      <w:r w:rsidR="007A6261" w:rsidRPr="00BB7899">
        <w:rPr>
          <w:rFonts w:ascii="Baskerville" w:hAnsi="Baskerville"/>
          <w:sz w:val="24"/>
          <w:szCs w:val="24"/>
        </w:rPr>
        <w:t xml:space="preserve"> usage two to four times less</w:t>
      </w:r>
      <w:r w:rsidR="00E86924" w:rsidRPr="00BB7899">
        <w:rPr>
          <w:rFonts w:ascii="Baskerville" w:hAnsi="Baskerville"/>
          <w:sz w:val="24"/>
          <w:szCs w:val="24"/>
        </w:rPr>
        <w:t xml:space="preserve"> than conservative</w:t>
      </w:r>
      <w:r w:rsidR="007A6261" w:rsidRPr="00BB7899">
        <w:rPr>
          <w:rFonts w:ascii="Baskerville" w:hAnsi="Baskerville"/>
          <w:sz w:val="24"/>
          <w:szCs w:val="24"/>
        </w:rPr>
        <w:t>s</w:t>
      </w:r>
      <w:r w:rsidR="00E86924" w:rsidRPr="00BB7899">
        <w:rPr>
          <w:rFonts w:ascii="Baskerville" w:hAnsi="Baskerville"/>
          <w:sz w:val="24"/>
          <w:szCs w:val="24"/>
        </w:rPr>
        <w:t xml:space="preserve">. </w:t>
      </w:r>
    </w:p>
    <w:p w14:paraId="25941FE5" w14:textId="77777777" w:rsidR="00D25207" w:rsidRPr="00BB7899" w:rsidRDefault="00D25207" w:rsidP="004C7B41">
      <w:pPr>
        <w:ind w:firstLine="720"/>
        <w:rPr>
          <w:rFonts w:ascii="Baskerville" w:hAnsi="Baskerville"/>
        </w:rPr>
      </w:pPr>
    </w:p>
    <w:p w14:paraId="24D11E12" w14:textId="2167DE89" w:rsidR="00196278" w:rsidRPr="00BB7899" w:rsidRDefault="00196278" w:rsidP="00196278">
      <w:pPr>
        <w:rPr>
          <w:rFonts w:ascii="Baskerville" w:hAnsi="Baskerville"/>
          <w:b/>
        </w:rPr>
      </w:pPr>
      <w:r w:rsidRPr="00BB7899">
        <w:rPr>
          <w:rFonts w:ascii="Baskerville" w:hAnsi="Baskerville"/>
          <w:b/>
        </w:rPr>
        <w:t>Part (3</w:t>
      </w:r>
      <w:r w:rsidR="00403013" w:rsidRPr="00BB7899">
        <w:rPr>
          <w:rFonts w:ascii="Baskerville" w:hAnsi="Baskerville"/>
          <w:b/>
        </w:rPr>
        <w:t>a</w:t>
      </w:r>
      <w:r w:rsidRPr="00BB7899">
        <w:rPr>
          <w:rFonts w:ascii="Baskerville" w:hAnsi="Baskerville"/>
          <w:b/>
        </w:rPr>
        <w:t>)</w:t>
      </w:r>
    </w:p>
    <w:p w14:paraId="3672F2CB" w14:textId="77777777" w:rsidR="005E6164" w:rsidRPr="00BB7899" w:rsidRDefault="005E6164" w:rsidP="00196278">
      <w:pPr>
        <w:rPr>
          <w:rFonts w:ascii="Baskerville" w:hAnsi="Baskerville"/>
          <w:b/>
        </w:rPr>
      </w:pPr>
    </w:p>
    <w:p w14:paraId="10E29B70" w14:textId="1E233301" w:rsidR="007407B3" w:rsidRPr="00BB7899" w:rsidRDefault="007E690C" w:rsidP="00196278">
      <w:pPr>
        <w:rPr>
          <w:rFonts w:ascii="Baskerville" w:hAnsi="Baskerville"/>
        </w:rPr>
      </w:pPr>
      <w:r w:rsidRPr="00BB7899">
        <w:rPr>
          <w:rFonts w:ascii="Baskerville" w:hAnsi="Baskerville"/>
        </w:rPr>
        <w:tab/>
      </w:r>
      <w:r w:rsidR="00DB0072" w:rsidRPr="00BB7899">
        <w:rPr>
          <w:rFonts w:ascii="Baskerville" w:hAnsi="Baskerville"/>
        </w:rPr>
        <w:t xml:space="preserve">The conditions that may make it better to focus </w:t>
      </w:r>
      <w:r w:rsidR="002E59CE" w:rsidRPr="00BB7899">
        <w:rPr>
          <w:rFonts w:ascii="Baskerville" w:hAnsi="Baskerville"/>
        </w:rPr>
        <w:t>resources on a small number of clinics or spread them m</w:t>
      </w:r>
      <w:r w:rsidR="00F95E33" w:rsidRPr="00BB7899">
        <w:rPr>
          <w:rFonts w:ascii="Baskerville" w:hAnsi="Baskerville"/>
        </w:rPr>
        <w:t xml:space="preserve">ore widely is based on </w:t>
      </w:r>
      <w:proofErr w:type="spellStart"/>
      <w:r w:rsidR="00F95E33" w:rsidRPr="00BB7899">
        <w:rPr>
          <w:rFonts w:ascii="Baskerville" w:hAnsi="Baskerville"/>
        </w:rPr>
        <w:t>Salganik’s</w:t>
      </w:r>
      <w:proofErr w:type="spellEnd"/>
      <w:r w:rsidR="00F95E33" w:rsidRPr="00BB7899">
        <w:rPr>
          <w:rFonts w:ascii="Baskerville" w:hAnsi="Baskerville"/>
        </w:rPr>
        <w:t xml:space="preserve"> (2018) </w:t>
      </w:r>
      <w:r w:rsidR="00F95E33" w:rsidRPr="00BB7899">
        <w:rPr>
          <w:rFonts w:ascii="Baskerville" w:hAnsi="Baskerville"/>
          <w:i/>
        </w:rPr>
        <w:t>Bit by Bit</w:t>
      </w:r>
      <w:r w:rsidR="00F95E33" w:rsidRPr="00BB7899">
        <w:rPr>
          <w:rFonts w:ascii="Baskerville" w:hAnsi="Baskerville"/>
        </w:rPr>
        <w:t xml:space="preserve">. </w:t>
      </w:r>
      <w:r w:rsidR="002E59CE" w:rsidRPr="00BB7899">
        <w:rPr>
          <w:rFonts w:ascii="Baskerville" w:hAnsi="Baskerville"/>
        </w:rPr>
        <w:t xml:space="preserve">Specifically, </w:t>
      </w:r>
      <w:r w:rsidR="001C7168" w:rsidRPr="00BB7899">
        <w:rPr>
          <w:rFonts w:ascii="Baskerville" w:hAnsi="Baskerville"/>
        </w:rPr>
        <w:t xml:space="preserve">there are two main </w:t>
      </w:r>
      <w:r w:rsidR="00B569F8" w:rsidRPr="00BB7899">
        <w:rPr>
          <w:rFonts w:ascii="Baskerville" w:hAnsi="Baskerville"/>
        </w:rPr>
        <w:t>assumptions</w:t>
      </w:r>
      <w:r w:rsidR="001C7168" w:rsidRPr="00BB7899">
        <w:rPr>
          <w:rFonts w:ascii="Baskerville" w:hAnsi="Baskerville"/>
        </w:rPr>
        <w:t xml:space="preserve"> </w:t>
      </w:r>
      <w:r w:rsidR="00B569F8" w:rsidRPr="00BB7899">
        <w:rPr>
          <w:rFonts w:ascii="Baskerville" w:hAnsi="Baskerville"/>
        </w:rPr>
        <w:t xml:space="preserve">under SUTVA (Stable Unit Treatment Value Assumption) that must be met to ensure that </w:t>
      </w:r>
      <w:r w:rsidR="005E6164" w:rsidRPr="00BB7899">
        <w:rPr>
          <w:rFonts w:ascii="Baskerville" w:hAnsi="Baskerville"/>
        </w:rPr>
        <w:t>we can make accurate causal inferences</w:t>
      </w:r>
      <w:r w:rsidR="008F3DD3" w:rsidRPr="00BB7899">
        <w:rPr>
          <w:rFonts w:ascii="Baskerville" w:hAnsi="Baskerville"/>
        </w:rPr>
        <w:t xml:space="preserve">. </w:t>
      </w:r>
      <w:r w:rsidR="005E6164" w:rsidRPr="00BB7899">
        <w:rPr>
          <w:rFonts w:ascii="Baskerville" w:hAnsi="Baskerville"/>
        </w:rPr>
        <w:t xml:space="preserve">Firstly, there must be no spillover effects. </w:t>
      </w:r>
      <w:r w:rsidR="002E59CE" w:rsidRPr="00BB7899">
        <w:rPr>
          <w:rFonts w:ascii="Baskerville" w:hAnsi="Baskerville"/>
        </w:rPr>
        <w:t>In this context,</w:t>
      </w:r>
      <w:r w:rsidR="002A79D2" w:rsidRPr="00BB7899">
        <w:rPr>
          <w:rFonts w:ascii="Baskerville" w:hAnsi="Baskerville"/>
        </w:rPr>
        <w:t xml:space="preserve"> one factor that researchers may consider is the </w:t>
      </w:r>
      <w:r w:rsidR="00635E19" w:rsidRPr="00BB7899">
        <w:rPr>
          <w:rFonts w:ascii="Baskerville" w:hAnsi="Baskerville"/>
        </w:rPr>
        <w:t xml:space="preserve">potential </w:t>
      </w:r>
      <w:r w:rsidR="002A79D2" w:rsidRPr="00BB7899">
        <w:rPr>
          <w:rFonts w:ascii="Baskerville" w:hAnsi="Baskerville"/>
        </w:rPr>
        <w:t>location</w:t>
      </w:r>
      <w:r w:rsidR="00635E19" w:rsidRPr="00BB7899">
        <w:rPr>
          <w:rFonts w:ascii="Baskerville" w:hAnsi="Baskerville"/>
        </w:rPr>
        <w:t>s of the clinics. For example,</w:t>
      </w:r>
      <w:r w:rsidR="002E59CE" w:rsidRPr="00BB7899">
        <w:rPr>
          <w:rFonts w:ascii="Baskerville" w:hAnsi="Baskerville"/>
        </w:rPr>
        <w:t xml:space="preserve"> if we hav</w:t>
      </w:r>
      <w:r w:rsidR="00D06BDC" w:rsidRPr="00BB7899">
        <w:rPr>
          <w:rFonts w:ascii="Baskerville" w:hAnsi="Baskerville"/>
        </w:rPr>
        <w:t xml:space="preserve">e </w:t>
      </w:r>
      <w:r w:rsidR="00F01C32" w:rsidRPr="00BB7899">
        <w:rPr>
          <w:rFonts w:ascii="Baskerville" w:hAnsi="Baskerville"/>
        </w:rPr>
        <w:t>3</w:t>
      </w:r>
      <w:r w:rsidR="00D06BDC" w:rsidRPr="00BB7899">
        <w:rPr>
          <w:rFonts w:ascii="Baskerville" w:hAnsi="Baskerville"/>
        </w:rPr>
        <w:t xml:space="preserve"> clinics</w:t>
      </w:r>
      <w:r w:rsidR="00F01C32" w:rsidRPr="00BB7899">
        <w:rPr>
          <w:rFonts w:ascii="Baskerville" w:hAnsi="Baskerville"/>
        </w:rPr>
        <w:t xml:space="preserve"> ($3</w:t>
      </w:r>
      <w:r w:rsidR="008416AD" w:rsidRPr="00BB7899">
        <w:rPr>
          <w:rFonts w:ascii="Baskerville" w:hAnsi="Baskerville"/>
        </w:rPr>
        <w:t>00),</w:t>
      </w:r>
      <w:r w:rsidR="00E62DEC" w:rsidRPr="00BB7899">
        <w:rPr>
          <w:rFonts w:ascii="Baskerville" w:hAnsi="Baskerville"/>
        </w:rPr>
        <w:t xml:space="preserve"> 6</w:t>
      </w:r>
      <w:r w:rsidR="008416AD" w:rsidRPr="00BB7899">
        <w:rPr>
          <w:rFonts w:ascii="Baskerville" w:hAnsi="Baskerville"/>
        </w:rPr>
        <w:t>00</w:t>
      </w:r>
      <w:r w:rsidR="00D06BDC" w:rsidRPr="00BB7899">
        <w:rPr>
          <w:rFonts w:ascii="Baskerville" w:hAnsi="Baskerville"/>
        </w:rPr>
        <w:t xml:space="preserve"> participants </w:t>
      </w:r>
      <w:r w:rsidR="00E62DEC" w:rsidRPr="00BB7899">
        <w:rPr>
          <w:rFonts w:ascii="Baskerville" w:hAnsi="Baskerville"/>
        </w:rPr>
        <w:t>for 2</w:t>
      </w:r>
      <w:r w:rsidR="00D06BDC" w:rsidRPr="00BB7899">
        <w:rPr>
          <w:rFonts w:ascii="Baskerville" w:hAnsi="Baskerville"/>
        </w:rPr>
        <w:t xml:space="preserve"> clinic</w:t>
      </w:r>
      <w:r w:rsidR="00E62DEC" w:rsidRPr="00BB7899">
        <w:rPr>
          <w:rFonts w:ascii="Baskerville" w:hAnsi="Baskerville"/>
        </w:rPr>
        <w:t>s ($600 for treatment) and 200 participants for 1 clinic ($1</w:t>
      </w:r>
      <w:r w:rsidR="008416AD" w:rsidRPr="00BB7899">
        <w:rPr>
          <w:rFonts w:ascii="Baskerville" w:hAnsi="Baskerville"/>
        </w:rPr>
        <w:t>00)</w:t>
      </w:r>
      <w:r w:rsidR="00D06BDC" w:rsidRPr="00BB7899">
        <w:rPr>
          <w:rFonts w:ascii="Baskerville" w:hAnsi="Baskerville"/>
        </w:rPr>
        <w:t xml:space="preserve">, </w:t>
      </w:r>
      <w:r w:rsidR="00635E19" w:rsidRPr="00BB7899">
        <w:rPr>
          <w:rFonts w:ascii="Baskerville" w:hAnsi="Baskerville"/>
        </w:rPr>
        <w:t xml:space="preserve">and the two clinics with the large sample size are located in a small town, </w:t>
      </w:r>
      <w:r w:rsidR="00D06BDC" w:rsidRPr="00BB7899">
        <w:rPr>
          <w:rFonts w:ascii="Baskerville" w:hAnsi="Baskerville"/>
        </w:rPr>
        <w:t>we may have a higher probability of some spill over effect- because we have a large sample size</w:t>
      </w:r>
      <w:r w:rsidR="007407B3" w:rsidRPr="00BB7899">
        <w:rPr>
          <w:rFonts w:ascii="Baskerville" w:hAnsi="Baskerville"/>
        </w:rPr>
        <w:t xml:space="preserve"> in those 2 clinics</w:t>
      </w:r>
      <w:r w:rsidR="00635E19" w:rsidRPr="00BB7899">
        <w:rPr>
          <w:rFonts w:ascii="Baskerville" w:hAnsi="Baskerville"/>
        </w:rPr>
        <w:t xml:space="preserve"> and people in a small town are more likely to know each other</w:t>
      </w:r>
      <w:r w:rsidR="00D06BDC" w:rsidRPr="00BB7899">
        <w:rPr>
          <w:rFonts w:ascii="Baskerville" w:hAnsi="Baskerville"/>
        </w:rPr>
        <w:t>,</w:t>
      </w:r>
      <w:r w:rsidR="00C223EF" w:rsidRPr="00BB7899">
        <w:rPr>
          <w:rFonts w:ascii="Baskerville" w:hAnsi="Baskerville"/>
        </w:rPr>
        <w:t xml:space="preserve"> the chances of participants knowing each other</w:t>
      </w:r>
      <w:r w:rsidR="00635E19" w:rsidRPr="00BB7899">
        <w:rPr>
          <w:rFonts w:ascii="Baskerville" w:hAnsi="Baskerville"/>
        </w:rPr>
        <w:t xml:space="preserve"> in these 2 samples</w:t>
      </w:r>
      <w:r w:rsidR="00440FB1" w:rsidRPr="00BB7899">
        <w:rPr>
          <w:rFonts w:ascii="Baskerville" w:hAnsi="Baskerville"/>
        </w:rPr>
        <w:t xml:space="preserve"> may be</w:t>
      </w:r>
      <w:r w:rsidR="00C223EF" w:rsidRPr="00BB7899">
        <w:rPr>
          <w:rFonts w:ascii="Baskerville" w:hAnsi="Baskerville"/>
        </w:rPr>
        <w:t xml:space="preserve"> higher,</w:t>
      </w:r>
      <w:r w:rsidR="00D06BDC" w:rsidRPr="00BB7899">
        <w:rPr>
          <w:rFonts w:ascii="Baskerville" w:hAnsi="Baskerville"/>
        </w:rPr>
        <w:t xml:space="preserve"> </w:t>
      </w:r>
      <w:r w:rsidR="007407B3" w:rsidRPr="00BB7899">
        <w:rPr>
          <w:rFonts w:ascii="Baskerville" w:hAnsi="Baskerville"/>
        </w:rPr>
        <w:t>and</w:t>
      </w:r>
      <w:r w:rsidR="006F0CE4" w:rsidRPr="00BB7899">
        <w:rPr>
          <w:rFonts w:ascii="Baskerville" w:hAnsi="Baskerville"/>
        </w:rPr>
        <w:t xml:space="preserve"> participants in the treatment condition </w:t>
      </w:r>
      <w:r w:rsidR="00D06BDC" w:rsidRPr="00BB7899">
        <w:rPr>
          <w:rFonts w:ascii="Baskerville" w:hAnsi="Baskerville"/>
        </w:rPr>
        <w:t xml:space="preserve">may </w:t>
      </w:r>
      <w:r w:rsidR="00C223EF" w:rsidRPr="00BB7899">
        <w:rPr>
          <w:rFonts w:ascii="Baskerville" w:hAnsi="Baskerville"/>
        </w:rPr>
        <w:t xml:space="preserve">inadvertently </w:t>
      </w:r>
      <w:r w:rsidR="00D06BDC" w:rsidRPr="00BB7899">
        <w:rPr>
          <w:rFonts w:ascii="Baskerville" w:hAnsi="Baskerville"/>
        </w:rPr>
        <w:t>inform another parti</w:t>
      </w:r>
      <w:r w:rsidR="006F15E9" w:rsidRPr="00BB7899">
        <w:rPr>
          <w:rFonts w:ascii="Baskerville" w:hAnsi="Baskerville"/>
        </w:rPr>
        <w:t>cipant in the control condition</w:t>
      </w:r>
      <w:r w:rsidR="00AA7C08" w:rsidRPr="00BB7899">
        <w:rPr>
          <w:rFonts w:ascii="Baskerville" w:hAnsi="Baskerville"/>
        </w:rPr>
        <w:t>, therefore having a spill over effect. To minimize this effect</w:t>
      </w:r>
      <w:r w:rsidR="006F15E9" w:rsidRPr="00BB7899">
        <w:rPr>
          <w:rFonts w:ascii="Baskerville" w:hAnsi="Baskerville"/>
        </w:rPr>
        <w:t>, we may employ a wider spread of clinics</w:t>
      </w:r>
      <w:r w:rsidR="003F7104" w:rsidRPr="00BB7899">
        <w:rPr>
          <w:rFonts w:ascii="Baskerville" w:hAnsi="Baskerville"/>
        </w:rPr>
        <w:t xml:space="preserve"> and reduce sample size within each clinic</w:t>
      </w:r>
      <w:r w:rsidR="006F15E9" w:rsidRPr="00BB7899">
        <w:rPr>
          <w:rFonts w:ascii="Baskerville" w:hAnsi="Baskerville"/>
        </w:rPr>
        <w:t xml:space="preserve"> instea</w:t>
      </w:r>
      <w:r w:rsidR="004738B7" w:rsidRPr="00BB7899">
        <w:rPr>
          <w:rFonts w:ascii="Baskerville" w:hAnsi="Baskerville"/>
        </w:rPr>
        <w:t xml:space="preserve">d. </w:t>
      </w:r>
    </w:p>
    <w:p w14:paraId="7DEC1348" w14:textId="1DD58C6C" w:rsidR="0035020F" w:rsidRPr="00BB7899" w:rsidRDefault="004738B7" w:rsidP="00C33C90">
      <w:pPr>
        <w:ind w:firstLine="720"/>
        <w:rPr>
          <w:rFonts w:ascii="Baskerville" w:hAnsi="Baskerville"/>
        </w:rPr>
      </w:pPr>
      <w:r w:rsidRPr="00BB7899">
        <w:rPr>
          <w:rFonts w:ascii="Baskerville" w:hAnsi="Baskerville"/>
        </w:rPr>
        <w:t>Secondly, there must not be</w:t>
      </w:r>
      <w:r w:rsidR="006F15E9" w:rsidRPr="00BB7899">
        <w:rPr>
          <w:rFonts w:ascii="Baskerville" w:hAnsi="Baskerville"/>
        </w:rPr>
        <w:t xml:space="preserve"> </w:t>
      </w:r>
      <w:r w:rsidRPr="00BB7899">
        <w:rPr>
          <w:rFonts w:ascii="Baskerville" w:hAnsi="Baskerville"/>
        </w:rPr>
        <w:t>hidden treatments. If, fo</w:t>
      </w:r>
      <w:r w:rsidR="00B726A5" w:rsidRPr="00BB7899">
        <w:rPr>
          <w:rFonts w:ascii="Baskerville" w:hAnsi="Baskerville"/>
        </w:rPr>
        <w:t>r example, we have 9 clinics ($9</w:t>
      </w:r>
      <w:r w:rsidRPr="00BB7899">
        <w:rPr>
          <w:rFonts w:ascii="Baskerville" w:hAnsi="Baskerville"/>
        </w:rPr>
        <w:t xml:space="preserve">00) and </w:t>
      </w:r>
      <w:r w:rsidR="00644CF4" w:rsidRPr="00BB7899">
        <w:rPr>
          <w:rFonts w:ascii="Baskerville" w:hAnsi="Baskerville"/>
        </w:rPr>
        <w:t xml:space="preserve">had </w:t>
      </w:r>
      <w:r w:rsidR="0070018F" w:rsidRPr="00BB7899">
        <w:rPr>
          <w:rFonts w:ascii="Baskerville" w:hAnsi="Baskerville"/>
        </w:rPr>
        <w:t xml:space="preserve">a sample size of 20 for 8 clinics ($80 for treatment) and a sample size of 40 for 1 clinic ($20 for treatment), then we must ensure that all 9 clinics participate in the experiment in a similar </w:t>
      </w:r>
      <w:r w:rsidR="0075415A" w:rsidRPr="00BB7899">
        <w:rPr>
          <w:rFonts w:ascii="Baskerville" w:hAnsi="Baskerville"/>
        </w:rPr>
        <w:t>manner</w:t>
      </w:r>
      <w:r w:rsidR="0070018F" w:rsidRPr="00BB7899">
        <w:rPr>
          <w:rFonts w:ascii="Baskerville" w:hAnsi="Baskerville"/>
        </w:rPr>
        <w:t xml:space="preserve">. For example, </w:t>
      </w:r>
      <w:r w:rsidR="00661FF7" w:rsidRPr="00BB7899">
        <w:rPr>
          <w:rFonts w:ascii="Baskerville" w:hAnsi="Baskerville"/>
        </w:rPr>
        <w:t xml:space="preserve">if one clinic </w:t>
      </w:r>
      <w:r w:rsidR="00C33C90" w:rsidRPr="00BB7899">
        <w:rPr>
          <w:rFonts w:ascii="Baskerville" w:hAnsi="Baskerville"/>
        </w:rPr>
        <w:t xml:space="preserve">has a different way of measuring the number of </w:t>
      </w:r>
      <w:r w:rsidR="00661FF7" w:rsidRPr="00BB7899">
        <w:rPr>
          <w:rFonts w:ascii="Baskerville" w:hAnsi="Baskerville"/>
        </w:rPr>
        <w:t>patients</w:t>
      </w:r>
      <w:r w:rsidR="00C33C90" w:rsidRPr="00BB7899">
        <w:rPr>
          <w:rFonts w:ascii="Baskerville" w:hAnsi="Baskerville"/>
        </w:rPr>
        <w:t xml:space="preserve"> who</w:t>
      </w:r>
      <w:r w:rsidR="00661FF7" w:rsidRPr="00BB7899">
        <w:rPr>
          <w:rFonts w:ascii="Baskerville" w:hAnsi="Baskerville"/>
        </w:rPr>
        <w:t xml:space="preserve"> </w:t>
      </w:r>
      <w:r w:rsidR="00C33C90" w:rsidRPr="00BB7899">
        <w:rPr>
          <w:rFonts w:ascii="Baskerville" w:hAnsi="Baskerville"/>
        </w:rPr>
        <w:t xml:space="preserve">receive these vaccinations, or if the clinic handles the treatment or control group differently, compared to the other 8 clinics, then this assumption may be violated. </w:t>
      </w:r>
      <w:r w:rsidR="000248D3" w:rsidRPr="00BB7899">
        <w:rPr>
          <w:rFonts w:ascii="Baskerville" w:hAnsi="Baskerville"/>
        </w:rPr>
        <w:t>As such, to minimize the hidden treatment effect</w:t>
      </w:r>
      <w:r w:rsidR="00C33C90" w:rsidRPr="00BB7899">
        <w:rPr>
          <w:rFonts w:ascii="Baskerville" w:hAnsi="Baskerville"/>
        </w:rPr>
        <w:t>, we may</w:t>
      </w:r>
      <w:r w:rsidR="000248D3" w:rsidRPr="00BB7899">
        <w:rPr>
          <w:rFonts w:ascii="Baskerville" w:hAnsi="Baskerville"/>
        </w:rPr>
        <w:t xml:space="preserve"> have </w:t>
      </w:r>
      <w:r w:rsidR="00C33C90" w:rsidRPr="00BB7899">
        <w:rPr>
          <w:rFonts w:ascii="Baskerville" w:hAnsi="Baskerville"/>
        </w:rPr>
        <w:t>to use a smaller spread of clinics instead.</w:t>
      </w:r>
    </w:p>
    <w:p w14:paraId="23D8CB66" w14:textId="7B6861AC" w:rsidR="008F3DD3" w:rsidRPr="00BB7899" w:rsidRDefault="00AD16D5" w:rsidP="007E63B3">
      <w:pPr>
        <w:pStyle w:val="p1"/>
        <w:rPr>
          <w:rFonts w:ascii="Baskerville" w:hAnsi="Baskerville"/>
          <w:sz w:val="24"/>
          <w:szCs w:val="24"/>
        </w:rPr>
      </w:pPr>
      <w:r w:rsidRPr="00BB7899">
        <w:rPr>
          <w:rFonts w:ascii="Baskerville" w:hAnsi="Baskerville"/>
          <w:sz w:val="24"/>
          <w:szCs w:val="24"/>
        </w:rPr>
        <w:tab/>
        <w:t xml:space="preserve">Alternatively, we can also answer this question according to the demographics of the samples in the clinics. Specifically, we can use a smaller spread of clinics if the potential participants </w:t>
      </w:r>
      <w:r w:rsidR="008B0B5C" w:rsidRPr="00BB7899">
        <w:rPr>
          <w:rFonts w:ascii="Baskerville" w:hAnsi="Baskerville"/>
          <w:sz w:val="24"/>
          <w:szCs w:val="24"/>
        </w:rPr>
        <w:t xml:space="preserve">within this small number of clinics </w:t>
      </w:r>
      <w:r w:rsidRPr="00BB7899">
        <w:rPr>
          <w:rFonts w:ascii="Baskerville" w:hAnsi="Baskerville"/>
          <w:sz w:val="24"/>
          <w:szCs w:val="24"/>
        </w:rPr>
        <w:t xml:space="preserve">are representative of the general population (assuming that we wish to generalize our findings to the wider population and not to a segment of the population). </w:t>
      </w:r>
      <w:r w:rsidR="0075415A" w:rsidRPr="00BB7899">
        <w:rPr>
          <w:rFonts w:ascii="Baskerville" w:hAnsi="Baskerville"/>
          <w:sz w:val="24"/>
          <w:szCs w:val="24"/>
        </w:rPr>
        <w:t>On the other hand,</w:t>
      </w:r>
      <w:r w:rsidR="008B0B5C" w:rsidRPr="00BB7899">
        <w:rPr>
          <w:rFonts w:ascii="Baskerville" w:hAnsi="Baskerville"/>
          <w:sz w:val="24"/>
          <w:szCs w:val="24"/>
        </w:rPr>
        <w:t xml:space="preserve"> if the sample within the clinics are not representative, we can increase the number of clinics to increase representativeness. For example, if one clinic is known to be in an exclusi</w:t>
      </w:r>
      <w:r w:rsidR="001D044D" w:rsidRPr="00BB7899">
        <w:rPr>
          <w:rFonts w:ascii="Baskerville" w:hAnsi="Baskerville"/>
          <w:sz w:val="24"/>
          <w:szCs w:val="24"/>
        </w:rPr>
        <w:t>vely rich area, we should increase the spread of clinics by including other</w:t>
      </w:r>
      <w:r w:rsidR="008B0B5C" w:rsidRPr="00BB7899">
        <w:rPr>
          <w:rFonts w:ascii="Baskerville" w:hAnsi="Baskerville"/>
          <w:sz w:val="24"/>
          <w:szCs w:val="24"/>
        </w:rPr>
        <w:t xml:space="preserve"> clinics that are in middle class areas and also poorer areas</w:t>
      </w:r>
      <w:r w:rsidR="001D044D" w:rsidRPr="00BB7899">
        <w:rPr>
          <w:rFonts w:ascii="Baskerville" w:hAnsi="Baskerville"/>
          <w:sz w:val="24"/>
          <w:szCs w:val="24"/>
        </w:rPr>
        <w:t>,</w:t>
      </w:r>
      <w:r w:rsidR="008B0B5C" w:rsidRPr="00BB7899">
        <w:rPr>
          <w:rFonts w:ascii="Baskerville" w:hAnsi="Baskerville"/>
          <w:sz w:val="24"/>
          <w:szCs w:val="24"/>
        </w:rPr>
        <w:t xml:space="preserve"> to ensure that our sample as a whole, is representative of the</w:t>
      </w:r>
      <w:r w:rsidR="001D044D" w:rsidRPr="00BB7899">
        <w:rPr>
          <w:rFonts w:ascii="Baskerville" w:hAnsi="Baskerville"/>
          <w:sz w:val="24"/>
          <w:szCs w:val="24"/>
        </w:rPr>
        <w:t xml:space="preserve"> socioeconomic demographics of the</w:t>
      </w:r>
      <w:r w:rsidR="008B0B5C" w:rsidRPr="00BB7899">
        <w:rPr>
          <w:rFonts w:ascii="Baskerville" w:hAnsi="Baskerville"/>
          <w:sz w:val="24"/>
          <w:szCs w:val="24"/>
        </w:rPr>
        <w:t xml:space="preserve"> population. </w:t>
      </w:r>
      <w:r w:rsidR="00C747CB" w:rsidRPr="00BB7899">
        <w:rPr>
          <w:rFonts w:ascii="Baskerville" w:hAnsi="Baskerville"/>
          <w:sz w:val="24"/>
          <w:szCs w:val="24"/>
        </w:rPr>
        <w:t>However, th</w:t>
      </w:r>
      <w:r w:rsidR="001D044D" w:rsidRPr="00BB7899">
        <w:rPr>
          <w:rFonts w:ascii="Baskerville" w:hAnsi="Baskerville"/>
          <w:sz w:val="24"/>
          <w:szCs w:val="24"/>
        </w:rPr>
        <w:t>is depends on the research question as well- if researchers are only investigating the effects of this treatment on Americans with low socioeconomic status for example, then including more clinics in richer areas would not</w:t>
      </w:r>
      <w:r w:rsidR="00FB71FF" w:rsidRPr="00BB7899">
        <w:rPr>
          <w:rFonts w:ascii="Baskerville" w:hAnsi="Baskerville"/>
          <w:sz w:val="24"/>
          <w:szCs w:val="24"/>
        </w:rPr>
        <w:t xml:space="preserve"> be relevant</w:t>
      </w:r>
      <w:r w:rsidR="00403013" w:rsidRPr="00BB7899">
        <w:rPr>
          <w:rFonts w:ascii="Baskerville" w:hAnsi="Baskerville"/>
          <w:sz w:val="24"/>
          <w:szCs w:val="24"/>
        </w:rPr>
        <w:t xml:space="preserve"> and a smaller spread of clinics </w:t>
      </w:r>
      <w:r w:rsidR="0000723F" w:rsidRPr="00BB7899">
        <w:rPr>
          <w:rFonts w:ascii="Baskerville" w:hAnsi="Baskerville"/>
          <w:sz w:val="24"/>
          <w:szCs w:val="24"/>
        </w:rPr>
        <w:t>with a large sample from</w:t>
      </w:r>
      <w:r w:rsidR="00E2252B" w:rsidRPr="00BB7899">
        <w:rPr>
          <w:rFonts w:ascii="Baskerville" w:hAnsi="Baskerville"/>
          <w:sz w:val="24"/>
          <w:szCs w:val="24"/>
        </w:rPr>
        <w:t xml:space="preserve"> each clinic</w:t>
      </w:r>
      <w:r w:rsidR="0000723F" w:rsidRPr="00BB7899">
        <w:rPr>
          <w:rFonts w:ascii="Baskerville" w:hAnsi="Baskerville"/>
          <w:sz w:val="24"/>
          <w:szCs w:val="24"/>
        </w:rPr>
        <w:t xml:space="preserve"> </w:t>
      </w:r>
      <w:r w:rsidR="00E2252B" w:rsidRPr="00BB7899">
        <w:rPr>
          <w:rFonts w:ascii="Baskerville" w:hAnsi="Baskerville"/>
          <w:sz w:val="24"/>
          <w:szCs w:val="24"/>
        </w:rPr>
        <w:t>in</w:t>
      </w:r>
      <w:r w:rsidR="0000723F" w:rsidRPr="00BB7899">
        <w:rPr>
          <w:rFonts w:ascii="Baskerville" w:hAnsi="Baskerville"/>
          <w:sz w:val="24"/>
          <w:szCs w:val="24"/>
        </w:rPr>
        <w:t xml:space="preserve"> poorer areas, </w:t>
      </w:r>
      <w:r w:rsidR="00403013" w:rsidRPr="00BB7899">
        <w:rPr>
          <w:rFonts w:ascii="Baskerville" w:hAnsi="Baskerville"/>
          <w:sz w:val="24"/>
          <w:szCs w:val="24"/>
        </w:rPr>
        <w:t xml:space="preserve">may be more appropriate in this case. </w:t>
      </w:r>
      <w:r w:rsidR="001D044D" w:rsidRPr="00BB7899">
        <w:rPr>
          <w:rFonts w:ascii="Baskerville" w:hAnsi="Baskerville"/>
          <w:sz w:val="24"/>
          <w:szCs w:val="24"/>
        </w:rPr>
        <w:t xml:space="preserve"> </w:t>
      </w:r>
    </w:p>
    <w:p w14:paraId="0AB29B21" w14:textId="277728E0" w:rsidR="00AD16D5" w:rsidRPr="00BB7899" w:rsidRDefault="00FB71FF" w:rsidP="007E63B3">
      <w:pPr>
        <w:pStyle w:val="p1"/>
        <w:rPr>
          <w:rFonts w:ascii="Baskerville" w:hAnsi="Baskerville"/>
          <w:sz w:val="24"/>
          <w:szCs w:val="24"/>
        </w:rPr>
      </w:pPr>
      <w:r w:rsidRPr="00BB7899">
        <w:rPr>
          <w:rFonts w:ascii="Baskerville" w:hAnsi="Baskerville"/>
          <w:sz w:val="24"/>
          <w:szCs w:val="24"/>
        </w:rPr>
        <w:tab/>
      </w:r>
    </w:p>
    <w:p w14:paraId="7420F43B" w14:textId="3E04CDC2" w:rsidR="00403013" w:rsidRPr="00BB7899" w:rsidRDefault="00403013" w:rsidP="00403013">
      <w:pPr>
        <w:rPr>
          <w:rFonts w:ascii="Baskerville" w:hAnsi="Baskerville"/>
          <w:b/>
        </w:rPr>
      </w:pPr>
      <w:r w:rsidRPr="00BB7899">
        <w:rPr>
          <w:rFonts w:ascii="Baskerville" w:hAnsi="Baskerville"/>
          <w:b/>
        </w:rPr>
        <w:t>Part (3b)</w:t>
      </w:r>
    </w:p>
    <w:p w14:paraId="4D2936C6" w14:textId="74F58692" w:rsidR="00D62B7C" w:rsidRPr="002D11E5" w:rsidRDefault="001E1898" w:rsidP="002D11E5">
      <w:pPr>
        <w:pStyle w:val="p1"/>
        <w:rPr>
          <w:rFonts w:ascii="Baskerville" w:hAnsi="Baskerville"/>
          <w:sz w:val="24"/>
          <w:szCs w:val="24"/>
        </w:rPr>
      </w:pPr>
      <w:r w:rsidRPr="00BB7899">
        <w:rPr>
          <w:rFonts w:ascii="Baskerville" w:hAnsi="Baskerville"/>
          <w:sz w:val="24"/>
          <w:szCs w:val="24"/>
        </w:rPr>
        <w:tab/>
      </w:r>
      <w:r w:rsidR="002E764E" w:rsidRPr="00BB7899">
        <w:rPr>
          <w:rFonts w:ascii="Baskerville" w:hAnsi="Baskerville"/>
          <w:sz w:val="24"/>
          <w:szCs w:val="24"/>
        </w:rPr>
        <w:t xml:space="preserve">Firstly, </w:t>
      </w:r>
      <w:proofErr w:type="spellStart"/>
      <w:r w:rsidR="002E764E" w:rsidRPr="00BB7899">
        <w:rPr>
          <w:rFonts w:ascii="Baskerville" w:hAnsi="Baskerville"/>
          <w:sz w:val="24"/>
          <w:szCs w:val="24"/>
        </w:rPr>
        <w:t>Salganik</w:t>
      </w:r>
      <w:proofErr w:type="spellEnd"/>
      <w:r w:rsidR="002E764E" w:rsidRPr="00BB7899">
        <w:rPr>
          <w:rFonts w:ascii="Baskerville" w:hAnsi="Baskerville"/>
          <w:sz w:val="24"/>
          <w:szCs w:val="24"/>
        </w:rPr>
        <w:t xml:space="preserve"> (2018) </w:t>
      </w:r>
      <w:r w:rsidR="00C81FFD" w:rsidRPr="00BB7899">
        <w:rPr>
          <w:rFonts w:ascii="Baskerville" w:hAnsi="Baskerville"/>
          <w:sz w:val="24"/>
          <w:szCs w:val="24"/>
        </w:rPr>
        <w:t>n</w:t>
      </w:r>
      <w:r w:rsidR="00262D01" w:rsidRPr="00BB7899">
        <w:rPr>
          <w:rFonts w:ascii="Baskerville" w:hAnsi="Baskerville"/>
          <w:sz w:val="24"/>
          <w:szCs w:val="24"/>
        </w:rPr>
        <w:t xml:space="preserve">otes that the </w:t>
      </w:r>
      <w:r w:rsidR="0000723F" w:rsidRPr="00BB7899">
        <w:rPr>
          <w:rFonts w:ascii="Baskerville" w:hAnsi="Baskerville"/>
          <w:sz w:val="24"/>
          <w:szCs w:val="24"/>
        </w:rPr>
        <w:t xml:space="preserve">research design plays a role </w:t>
      </w:r>
      <w:r w:rsidR="00C81FFD" w:rsidRPr="00BB7899">
        <w:rPr>
          <w:rFonts w:ascii="Baskerville" w:hAnsi="Baskerville"/>
          <w:sz w:val="24"/>
          <w:szCs w:val="24"/>
        </w:rPr>
        <w:t>on</w:t>
      </w:r>
      <w:r w:rsidR="00BA3C10" w:rsidRPr="00BB7899">
        <w:rPr>
          <w:rFonts w:ascii="Baskerville" w:hAnsi="Baskerville"/>
          <w:sz w:val="24"/>
          <w:szCs w:val="24"/>
        </w:rPr>
        <w:t xml:space="preserve"> the </w:t>
      </w:r>
      <w:r w:rsidR="009C76AD" w:rsidRPr="00BB7899">
        <w:rPr>
          <w:rFonts w:ascii="Baskerville" w:hAnsi="Baskerville"/>
          <w:sz w:val="24"/>
          <w:szCs w:val="24"/>
        </w:rPr>
        <w:t xml:space="preserve">detection of </w:t>
      </w:r>
      <w:r w:rsidR="00BA3C10" w:rsidRPr="00BB7899">
        <w:rPr>
          <w:rFonts w:ascii="Baskerville" w:hAnsi="Baskerville"/>
          <w:sz w:val="24"/>
          <w:szCs w:val="24"/>
        </w:rPr>
        <w:t>effect size</w:t>
      </w:r>
      <w:r w:rsidR="0000723F" w:rsidRPr="00BB7899">
        <w:rPr>
          <w:rFonts w:ascii="Baskerville" w:hAnsi="Baskerville"/>
          <w:sz w:val="24"/>
          <w:szCs w:val="24"/>
        </w:rPr>
        <w:t>– the difference in difference a</w:t>
      </w:r>
      <w:r w:rsidR="00BA3C10" w:rsidRPr="00BB7899">
        <w:rPr>
          <w:rFonts w:ascii="Baskerville" w:hAnsi="Baskerville"/>
          <w:sz w:val="24"/>
          <w:szCs w:val="24"/>
        </w:rPr>
        <w:t>pproach, used mostly in mixed</w:t>
      </w:r>
      <w:r w:rsidR="0000723F" w:rsidRPr="00BB7899">
        <w:rPr>
          <w:rFonts w:ascii="Baskerville" w:hAnsi="Baskerville"/>
          <w:sz w:val="24"/>
          <w:szCs w:val="24"/>
        </w:rPr>
        <w:t xml:space="preserve"> design, compared to </w:t>
      </w:r>
      <w:r w:rsidR="00DB0072" w:rsidRPr="00BB7899">
        <w:rPr>
          <w:rFonts w:ascii="Baskerville" w:hAnsi="Baskerville"/>
          <w:sz w:val="24"/>
          <w:szCs w:val="24"/>
        </w:rPr>
        <w:t xml:space="preserve">difference in </w:t>
      </w:r>
      <w:r w:rsidR="00BA3C10" w:rsidRPr="00BB7899">
        <w:rPr>
          <w:rFonts w:ascii="Baskerville" w:hAnsi="Baskerville"/>
          <w:sz w:val="24"/>
          <w:szCs w:val="24"/>
        </w:rPr>
        <w:t xml:space="preserve">means approach, used in </w:t>
      </w:r>
      <w:r w:rsidR="00D975F8" w:rsidRPr="00BB7899">
        <w:rPr>
          <w:rFonts w:ascii="Baskerville" w:hAnsi="Baskerville"/>
          <w:sz w:val="24"/>
          <w:szCs w:val="24"/>
        </w:rPr>
        <w:t xml:space="preserve">mostly between subject designs, can detect smaller effect sizes. Specifically, </w:t>
      </w:r>
      <w:r w:rsidR="005B2ECB" w:rsidRPr="00BB7899">
        <w:rPr>
          <w:rFonts w:ascii="Baskerville" w:hAnsi="Baskerville"/>
          <w:sz w:val="24"/>
          <w:szCs w:val="24"/>
        </w:rPr>
        <w:t>as</w:t>
      </w:r>
      <w:r w:rsidR="00D975F8" w:rsidRPr="00BB7899">
        <w:rPr>
          <w:rFonts w:ascii="Baskerville" w:hAnsi="Baskerville"/>
          <w:sz w:val="24"/>
          <w:szCs w:val="24"/>
        </w:rPr>
        <w:t xml:space="preserve"> the difference in difference approach </w:t>
      </w:r>
      <w:r w:rsidR="005B2ECB" w:rsidRPr="00BB7899">
        <w:rPr>
          <w:rFonts w:ascii="Baskerville" w:hAnsi="Baskerville"/>
          <w:sz w:val="24"/>
          <w:szCs w:val="24"/>
        </w:rPr>
        <w:t xml:space="preserve">has a smaller variance and a smaller standard error, it is easier to detect a small effect than compared to the difference in means approach. </w:t>
      </w:r>
      <w:r w:rsidR="00CE0A06" w:rsidRPr="00BB7899">
        <w:rPr>
          <w:rFonts w:ascii="Baskerville" w:hAnsi="Baskerville"/>
          <w:sz w:val="24"/>
          <w:szCs w:val="24"/>
        </w:rPr>
        <w:t>Additionally, one must also consider how sample s</w:t>
      </w:r>
      <w:r w:rsidR="000F526A" w:rsidRPr="00BB7899">
        <w:rPr>
          <w:rFonts w:ascii="Baskerville" w:hAnsi="Baskerville"/>
          <w:sz w:val="24"/>
          <w:szCs w:val="24"/>
        </w:rPr>
        <w:t xml:space="preserve">ize affects the detection of a small </w:t>
      </w:r>
      <w:r w:rsidR="00CE0A06" w:rsidRPr="00BB7899">
        <w:rPr>
          <w:rFonts w:ascii="Baskerville" w:hAnsi="Baskerville"/>
          <w:sz w:val="24"/>
          <w:szCs w:val="24"/>
        </w:rPr>
        <w:t>effect- increasing the sample size will de</w:t>
      </w:r>
      <w:r w:rsidR="000F526A" w:rsidRPr="00BB7899">
        <w:rPr>
          <w:rFonts w:ascii="Baskerville" w:hAnsi="Baskerville"/>
          <w:sz w:val="24"/>
          <w:szCs w:val="24"/>
        </w:rPr>
        <w:t xml:space="preserve">crease standard error, making it easier to reliably detect a smaller effect. This suggests that if researchers wish to detect a reliably small effect, one should increase the sample size within each clinic, instead of having a larger spread of clinics. </w:t>
      </w:r>
      <w:r w:rsidR="009C76AD" w:rsidRPr="00BB7899">
        <w:rPr>
          <w:rFonts w:ascii="Baskerville" w:hAnsi="Baskerville"/>
          <w:sz w:val="24"/>
          <w:szCs w:val="24"/>
        </w:rPr>
        <w:t xml:space="preserve">As such, research design and the sample size are two factors that would determine the detection of effect size, given budget constraints. </w:t>
      </w:r>
    </w:p>
    <w:p w14:paraId="2A0E6958" w14:textId="14635BF3" w:rsidR="000D224B" w:rsidRDefault="00D62B7C" w:rsidP="001D71FE">
      <w:pPr>
        <w:rPr>
          <w:rFonts w:ascii="Baskerville" w:hAnsi="Baskerville"/>
        </w:rPr>
      </w:pPr>
      <w:r>
        <w:rPr>
          <w:rFonts w:ascii="Baskerville" w:hAnsi="Baskerville"/>
        </w:rPr>
        <w:t xml:space="preserve">References: </w:t>
      </w:r>
    </w:p>
    <w:p w14:paraId="41271BD4" w14:textId="77777777" w:rsidR="00D62B7C" w:rsidRDefault="00D62B7C" w:rsidP="001D71FE">
      <w:pPr>
        <w:rPr>
          <w:rFonts w:ascii="Baskerville" w:hAnsi="Baskerville"/>
        </w:rPr>
      </w:pPr>
    </w:p>
    <w:p w14:paraId="590CCD21" w14:textId="77C1F7CE" w:rsidR="0033476A" w:rsidRDefault="0033476A" w:rsidP="0033476A">
      <w:pPr>
        <w:pStyle w:val="p1"/>
        <w:rPr>
          <w:rFonts w:ascii="Garamond" w:hAnsi="Garamond"/>
          <w:sz w:val="24"/>
          <w:szCs w:val="24"/>
        </w:rPr>
      </w:pPr>
      <w:r w:rsidRPr="0033476A">
        <w:rPr>
          <w:rFonts w:ascii="Garamond" w:hAnsi="Garamond"/>
          <w:sz w:val="24"/>
          <w:szCs w:val="24"/>
        </w:rPr>
        <w:t>Costa</w:t>
      </w:r>
      <w:r>
        <w:rPr>
          <w:rFonts w:ascii="Garamond" w:hAnsi="Garamond"/>
          <w:sz w:val="24"/>
          <w:szCs w:val="24"/>
        </w:rPr>
        <w:t>, Dora L. and Matthew E. Kahn, “</w:t>
      </w:r>
      <w:r w:rsidRPr="0033476A">
        <w:rPr>
          <w:rFonts w:ascii="Garamond" w:hAnsi="Garamond"/>
          <w:sz w:val="24"/>
          <w:szCs w:val="24"/>
        </w:rPr>
        <w:t>Ener</w:t>
      </w:r>
      <w:r>
        <w:rPr>
          <w:rFonts w:ascii="Garamond" w:hAnsi="Garamond"/>
          <w:sz w:val="24"/>
          <w:szCs w:val="24"/>
        </w:rPr>
        <w:t>gy Conservation Nudges and Envi</w:t>
      </w:r>
      <w:r w:rsidRPr="0033476A">
        <w:rPr>
          <w:rFonts w:ascii="Garamond" w:hAnsi="Garamond"/>
          <w:sz w:val="24"/>
          <w:szCs w:val="24"/>
        </w:rPr>
        <w:t>ronmentalist Ideology: Evidence from a Randomized Residential Electricity Field</w:t>
      </w:r>
      <w:r>
        <w:rPr>
          <w:rFonts w:ascii="Garamond" w:hAnsi="Garamond"/>
          <w:sz w:val="24"/>
          <w:szCs w:val="24"/>
        </w:rPr>
        <w:t xml:space="preserve"> </w:t>
      </w:r>
      <w:r w:rsidRPr="0033476A">
        <w:rPr>
          <w:rFonts w:ascii="Garamond" w:hAnsi="Garamond"/>
          <w:sz w:val="24"/>
          <w:szCs w:val="24"/>
        </w:rPr>
        <w:t xml:space="preserve">Experiment," </w:t>
      </w:r>
      <w:r w:rsidRPr="0033476A">
        <w:rPr>
          <w:rFonts w:ascii="Garamond" w:hAnsi="Garamond"/>
          <w:i/>
          <w:sz w:val="24"/>
          <w:szCs w:val="24"/>
        </w:rPr>
        <w:t>Journal of the European Economic Association</w:t>
      </w:r>
      <w:r w:rsidRPr="0033476A">
        <w:rPr>
          <w:rFonts w:ascii="Garamond" w:hAnsi="Garamond"/>
          <w:sz w:val="24"/>
          <w:szCs w:val="24"/>
        </w:rPr>
        <w:t>, June 2013, 11 (3),</w:t>
      </w:r>
      <w:r>
        <w:rPr>
          <w:rFonts w:ascii="Garamond" w:hAnsi="Garamond"/>
          <w:sz w:val="24"/>
          <w:szCs w:val="24"/>
        </w:rPr>
        <w:t xml:space="preserve"> 680- </w:t>
      </w:r>
      <w:r w:rsidRPr="0033476A">
        <w:rPr>
          <w:rFonts w:ascii="Garamond" w:hAnsi="Garamond"/>
          <w:sz w:val="24"/>
          <w:szCs w:val="24"/>
        </w:rPr>
        <w:t>702.</w:t>
      </w:r>
    </w:p>
    <w:p w14:paraId="7CB931AD" w14:textId="77777777" w:rsidR="0033476A" w:rsidRPr="0033476A" w:rsidRDefault="0033476A" w:rsidP="0033476A">
      <w:pPr>
        <w:pStyle w:val="p1"/>
        <w:rPr>
          <w:rFonts w:ascii="Garamond" w:hAnsi="Garamond"/>
          <w:sz w:val="24"/>
          <w:szCs w:val="24"/>
        </w:rPr>
      </w:pPr>
    </w:p>
    <w:p w14:paraId="665668BF" w14:textId="49AEED44" w:rsidR="0033476A" w:rsidRPr="0033476A" w:rsidRDefault="0033476A" w:rsidP="0033476A">
      <w:pPr>
        <w:pStyle w:val="p1"/>
        <w:rPr>
          <w:rFonts w:ascii="Garamond" w:hAnsi="Garamond"/>
          <w:sz w:val="24"/>
          <w:szCs w:val="24"/>
        </w:rPr>
      </w:pPr>
      <w:proofErr w:type="spellStart"/>
      <w:r w:rsidRPr="0033476A">
        <w:rPr>
          <w:rFonts w:ascii="Garamond" w:hAnsi="Garamond"/>
          <w:sz w:val="24"/>
          <w:szCs w:val="24"/>
        </w:rPr>
        <w:t>Salganik</w:t>
      </w:r>
      <w:proofErr w:type="spellEnd"/>
      <w:r w:rsidRPr="0033476A">
        <w:rPr>
          <w:rFonts w:ascii="Garamond" w:hAnsi="Garamond"/>
          <w:sz w:val="24"/>
          <w:szCs w:val="24"/>
        </w:rPr>
        <w:t xml:space="preserve">, Matthew J., </w:t>
      </w:r>
      <w:r w:rsidRPr="0033476A">
        <w:rPr>
          <w:rFonts w:ascii="Garamond" w:hAnsi="Garamond"/>
          <w:i/>
          <w:sz w:val="24"/>
          <w:szCs w:val="24"/>
        </w:rPr>
        <w:t>Bit by Bit: Social Research in the Digital Age</w:t>
      </w:r>
      <w:r w:rsidRPr="0033476A">
        <w:rPr>
          <w:rFonts w:ascii="Garamond" w:hAnsi="Garamond"/>
          <w:sz w:val="24"/>
          <w:szCs w:val="24"/>
        </w:rPr>
        <w:t>, Princeton</w:t>
      </w:r>
      <w:r w:rsidR="002668F3">
        <w:rPr>
          <w:rFonts w:ascii="Garamond" w:hAnsi="Garamond"/>
          <w:sz w:val="24"/>
          <w:szCs w:val="24"/>
        </w:rPr>
        <w:t xml:space="preserve"> </w:t>
      </w:r>
      <w:bookmarkStart w:id="0" w:name="_GoBack"/>
      <w:bookmarkEnd w:id="0"/>
      <w:r w:rsidRPr="0033476A">
        <w:rPr>
          <w:rFonts w:ascii="Garamond" w:hAnsi="Garamond"/>
          <w:sz w:val="24"/>
          <w:szCs w:val="24"/>
        </w:rPr>
        <w:t>University Press, 2018.</w:t>
      </w:r>
    </w:p>
    <w:p w14:paraId="7077061C" w14:textId="77777777" w:rsidR="0033476A" w:rsidRPr="00BB7899" w:rsidRDefault="0033476A" w:rsidP="001D71FE">
      <w:pPr>
        <w:rPr>
          <w:rFonts w:ascii="Baskerville" w:hAnsi="Baskerville"/>
        </w:rPr>
      </w:pPr>
    </w:p>
    <w:sectPr w:rsidR="0033476A" w:rsidRPr="00BB7899" w:rsidSect="004651F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Baskerville">
    <w:panose1 w:val="02020502070401020303"/>
    <w:charset w:val="00"/>
    <w:family w:val="roman"/>
    <w:pitch w:val="variable"/>
    <w:sig w:usb0="8000006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2F"/>
    <w:rsid w:val="0000723F"/>
    <w:rsid w:val="000248D3"/>
    <w:rsid w:val="000D224B"/>
    <w:rsid w:val="000E29D2"/>
    <w:rsid w:val="000F526A"/>
    <w:rsid w:val="00103446"/>
    <w:rsid w:val="00154F71"/>
    <w:rsid w:val="00196278"/>
    <w:rsid w:val="001C7168"/>
    <w:rsid w:val="001D044D"/>
    <w:rsid w:val="001D6614"/>
    <w:rsid w:val="001D71FE"/>
    <w:rsid w:val="001E1898"/>
    <w:rsid w:val="00200365"/>
    <w:rsid w:val="00226991"/>
    <w:rsid w:val="00262D01"/>
    <w:rsid w:val="002668F3"/>
    <w:rsid w:val="002A79D2"/>
    <w:rsid w:val="002D11E5"/>
    <w:rsid w:val="002E59CE"/>
    <w:rsid w:val="002E680E"/>
    <w:rsid w:val="002E764E"/>
    <w:rsid w:val="002F3100"/>
    <w:rsid w:val="00315A2F"/>
    <w:rsid w:val="0033476A"/>
    <w:rsid w:val="0035020F"/>
    <w:rsid w:val="00377E14"/>
    <w:rsid w:val="003905F8"/>
    <w:rsid w:val="003F7104"/>
    <w:rsid w:val="00401DFC"/>
    <w:rsid w:val="00403013"/>
    <w:rsid w:val="00404462"/>
    <w:rsid w:val="004148B2"/>
    <w:rsid w:val="00440FB1"/>
    <w:rsid w:val="00441E8E"/>
    <w:rsid w:val="004454A5"/>
    <w:rsid w:val="004651FB"/>
    <w:rsid w:val="00470AAA"/>
    <w:rsid w:val="004738B7"/>
    <w:rsid w:val="004B394D"/>
    <w:rsid w:val="004C7B41"/>
    <w:rsid w:val="00533A77"/>
    <w:rsid w:val="00573983"/>
    <w:rsid w:val="00575498"/>
    <w:rsid w:val="00580251"/>
    <w:rsid w:val="005B2ECB"/>
    <w:rsid w:val="005E6164"/>
    <w:rsid w:val="005F3FD0"/>
    <w:rsid w:val="00613AE9"/>
    <w:rsid w:val="00635E19"/>
    <w:rsid w:val="00644CF4"/>
    <w:rsid w:val="00661FF7"/>
    <w:rsid w:val="0068535D"/>
    <w:rsid w:val="006E7B7B"/>
    <w:rsid w:val="006F0CE4"/>
    <w:rsid w:val="006F15E9"/>
    <w:rsid w:val="0070018F"/>
    <w:rsid w:val="0072012C"/>
    <w:rsid w:val="007407B3"/>
    <w:rsid w:val="0075415A"/>
    <w:rsid w:val="007644D0"/>
    <w:rsid w:val="007A6261"/>
    <w:rsid w:val="007E63B3"/>
    <w:rsid w:val="007E690C"/>
    <w:rsid w:val="007F155D"/>
    <w:rsid w:val="008416AD"/>
    <w:rsid w:val="00847E81"/>
    <w:rsid w:val="00867A7F"/>
    <w:rsid w:val="008A56B3"/>
    <w:rsid w:val="008B0B5C"/>
    <w:rsid w:val="008F3DD3"/>
    <w:rsid w:val="00946BAF"/>
    <w:rsid w:val="009675B6"/>
    <w:rsid w:val="0097159A"/>
    <w:rsid w:val="00973810"/>
    <w:rsid w:val="009C76AD"/>
    <w:rsid w:val="009F5A88"/>
    <w:rsid w:val="00A27641"/>
    <w:rsid w:val="00A74C7C"/>
    <w:rsid w:val="00A85F47"/>
    <w:rsid w:val="00AA7C08"/>
    <w:rsid w:val="00AD16D5"/>
    <w:rsid w:val="00B30172"/>
    <w:rsid w:val="00B43F35"/>
    <w:rsid w:val="00B51428"/>
    <w:rsid w:val="00B569F8"/>
    <w:rsid w:val="00B726A5"/>
    <w:rsid w:val="00B75F3B"/>
    <w:rsid w:val="00BA3C10"/>
    <w:rsid w:val="00BB7899"/>
    <w:rsid w:val="00C223EF"/>
    <w:rsid w:val="00C33C90"/>
    <w:rsid w:val="00C65A2A"/>
    <w:rsid w:val="00C747CB"/>
    <w:rsid w:val="00C81FFD"/>
    <w:rsid w:val="00CD4D45"/>
    <w:rsid w:val="00CD6367"/>
    <w:rsid w:val="00CE0A06"/>
    <w:rsid w:val="00CF1F2F"/>
    <w:rsid w:val="00D06BDC"/>
    <w:rsid w:val="00D25207"/>
    <w:rsid w:val="00D62B7C"/>
    <w:rsid w:val="00D7548F"/>
    <w:rsid w:val="00D7730B"/>
    <w:rsid w:val="00D975F8"/>
    <w:rsid w:val="00DB0072"/>
    <w:rsid w:val="00DD79B0"/>
    <w:rsid w:val="00DE17D8"/>
    <w:rsid w:val="00DF5006"/>
    <w:rsid w:val="00E14282"/>
    <w:rsid w:val="00E2252B"/>
    <w:rsid w:val="00E253C8"/>
    <w:rsid w:val="00E62DEC"/>
    <w:rsid w:val="00E86924"/>
    <w:rsid w:val="00E901EA"/>
    <w:rsid w:val="00EC4AE1"/>
    <w:rsid w:val="00ED7A25"/>
    <w:rsid w:val="00F01C32"/>
    <w:rsid w:val="00F077E6"/>
    <w:rsid w:val="00F95E33"/>
    <w:rsid w:val="00FB71FF"/>
    <w:rsid w:val="00FB732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E8A66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75F8"/>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CF1F2F"/>
    <w:rPr>
      <w:rFonts w:ascii="Helvetica" w:hAnsi="Helvetica"/>
      <w:sz w:val="18"/>
      <w:szCs w:val="18"/>
    </w:rPr>
  </w:style>
  <w:style w:type="character" w:customStyle="1" w:styleId="qualification-descriptor">
    <w:name w:val="qualification-descriptor"/>
    <w:basedOn w:val="DefaultParagraphFont"/>
    <w:rsid w:val="00575498"/>
  </w:style>
  <w:style w:type="character" w:customStyle="1" w:styleId="qualification-value">
    <w:name w:val="qualification-value"/>
    <w:basedOn w:val="DefaultParagraphFont"/>
    <w:rsid w:val="00575498"/>
  </w:style>
  <w:style w:type="character" w:customStyle="1" w:styleId="qualification-action">
    <w:name w:val="qualification-action"/>
    <w:basedOn w:val="DefaultParagraphFont"/>
    <w:rsid w:val="00575498"/>
  </w:style>
  <w:style w:type="character" w:customStyle="1" w:styleId="s1">
    <w:name w:val="s1"/>
    <w:basedOn w:val="DefaultParagraphFont"/>
    <w:rsid w:val="00DD79B0"/>
    <w:rPr>
      <w:color w:val="FF2600"/>
    </w:rPr>
  </w:style>
  <w:style w:type="character" w:styleId="Emphasis">
    <w:name w:val="Emphasis"/>
    <w:basedOn w:val="DefaultParagraphFont"/>
    <w:uiPriority w:val="20"/>
    <w:qFormat/>
    <w:rsid w:val="008F3D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49178">
      <w:bodyDiv w:val="1"/>
      <w:marLeft w:val="0"/>
      <w:marRight w:val="0"/>
      <w:marTop w:val="0"/>
      <w:marBottom w:val="0"/>
      <w:divBdr>
        <w:top w:val="none" w:sz="0" w:space="0" w:color="auto"/>
        <w:left w:val="none" w:sz="0" w:space="0" w:color="auto"/>
        <w:bottom w:val="none" w:sz="0" w:space="0" w:color="auto"/>
        <w:right w:val="none" w:sz="0" w:space="0" w:color="auto"/>
      </w:divBdr>
    </w:div>
    <w:div w:id="101850457">
      <w:bodyDiv w:val="1"/>
      <w:marLeft w:val="0"/>
      <w:marRight w:val="0"/>
      <w:marTop w:val="0"/>
      <w:marBottom w:val="0"/>
      <w:divBdr>
        <w:top w:val="none" w:sz="0" w:space="0" w:color="auto"/>
        <w:left w:val="none" w:sz="0" w:space="0" w:color="auto"/>
        <w:bottom w:val="none" w:sz="0" w:space="0" w:color="auto"/>
        <w:right w:val="none" w:sz="0" w:space="0" w:color="auto"/>
      </w:divBdr>
    </w:div>
    <w:div w:id="111558342">
      <w:bodyDiv w:val="1"/>
      <w:marLeft w:val="0"/>
      <w:marRight w:val="0"/>
      <w:marTop w:val="0"/>
      <w:marBottom w:val="0"/>
      <w:divBdr>
        <w:top w:val="none" w:sz="0" w:space="0" w:color="auto"/>
        <w:left w:val="none" w:sz="0" w:space="0" w:color="auto"/>
        <w:bottom w:val="none" w:sz="0" w:space="0" w:color="auto"/>
        <w:right w:val="none" w:sz="0" w:space="0" w:color="auto"/>
      </w:divBdr>
    </w:div>
    <w:div w:id="132676141">
      <w:bodyDiv w:val="1"/>
      <w:marLeft w:val="0"/>
      <w:marRight w:val="0"/>
      <w:marTop w:val="0"/>
      <w:marBottom w:val="0"/>
      <w:divBdr>
        <w:top w:val="none" w:sz="0" w:space="0" w:color="auto"/>
        <w:left w:val="none" w:sz="0" w:space="0" w:color="auto"/>
        <w:bottom w:val="none" w:sz="0" w:space="0" w:color="auto"/>
        <w:right w:val="none" w:sz="0" w:space="0" w:color="auto"/>
      </w:divBdr>
    </w:div>
    <w:div w:id="250892093">
      <w:bodyDiv w:val="1"/>
      <w:marLeft w:val="0"/>
      <w:marRight w:val="0"/>
      <w:marTop w:val="0"/>
      <w:marBottom w:val="0"/>
      <w:divBdr>
        <w:top w:val="none" w:sz="0" w:space="0" w:color="auto"/>
        <w:left w:val="none" w:sz="0" w:space="0" w:color="auto"/>
        <w:bottom w:val="none" w:sz="0" w:space="0" w:color="auto"/>
        <w:right w:val="none" w:sz="0" w:space="0" w:color="auto"/>
      </w:divBdr>
    </w:div>
    <w:div w:id="304242641">
      <w:bodyDiv w:val="1"/>
      <w:marLeft w:val="0"/>
      <w:marRight w:val="0"/>
      <w:marTop w:val="0"/>
      <w:marBottom w:val="0"/>
      <w:divBdr>
        <w:top w:val="none" w:sz="0" w:space="0" w:color="auto"/>
        <w:left w:val="none" w:sz="0" w:space="0" w:color="auto"/>
        <w:bottom w:val="none" w:sz="0" w:space="0" w:color="auto"/>
        <w:right w:val="none" w:sz="0" w:space="0" w:color="auto"/>
      </w:divBdr>
    </w:div>
    <w:div w:id="379400588">
      <w:bodyDiv w:val="1"/>
      <w:marLeft w:val="0"/>
      <w:marRight w:val="0"/>
      <w:marTop w:val="0"/>
      <w:marBottom w:val="0"/>
      <w:divBdr>
        <w:top w:val="none" w:sz="0" w:space="0" w:color="auto"/>
        <w:left w:val="none" w:sz="0" w:space="0" w:color="auto"/>
        <w:bottom w:val="none" w:sz="0" w:space="0" w:color="auto"/>
        <w:right w:val="none" w:sz="0" w:space="0" w:color="auto"/>
      </w:divBdr>
    </w:div>
    <w:div w:id="431437210">
      <w:bodyDiv w:val="1"/>
      <w:marLeft w:val="0"/>
      <w:marRight w:val="0"/>
      <w:marTop w:val="0"/>
      <w:marBottom w:val="0"/>
      <w:divBdr>
        <w:top w:val="none" w:sz="0" w:space="0" w:color="auto"/>
        <w:left w:val="none" w:sz="0" w:space="0" w:color="auto"/>
        <w:bottom w:val="none" w:sz="0" w:space="0" w:color="auto"/>
        <w:right w:val="none" w:sz="0" w:space="0" w:color="auto"/>
      </w:divBdr>
    </w:div>
    <w:div w:id="481390055">
      <w:bodyDiv w:val="1"/>
      <w:marLeft w:val="0"/>
      <w:marRight w:val="0"/>
      <w:marTop w:val="0"/>
      <w:marBottom w:val="0"/>
      <w:divBdr>
        <w:top w:val="none" w:sz="0" w:space="0" w:color="auto"/>
        <w:left w:val="none" w:sz="0" w:space="0" w:color="auto"/>
        <w:bottom w:val="none" w:sz="0" w:space="0" w:color="auto"/>
        <w:right w:val="none" w:sz="0" w:space="0" w:color="auto"/>
      </w:divBdr>
    </w:div>
    <w:div w:id="553395583">
      <w:bodyDiv w:val="1"/>
      <w:marLeft w:val="0"/>
      <w:marRight w:val="0"/>
      <w:marTop w:val="0"/>
      <w:marBottom w:val="0"/>
      <w:divBdr>
        <w:top w:val="none" w:sz="0" w:space="0" w:color="auto"/>
        <w:left w:val="none" w:sz="0" w:space="0" w:color="auto"/>
        <w:bottom w:val="none" w:sz="0" w:space="0" w:color="auto"/>
        <w:right w:val="none" w:sz="0" w:space="0" w:color="auto"/>
      </w:divBdr>
    </w:div>
    <w:div w:id="610626531">
      <w:bodyDiv w:val="1"/>
      <w:marLeft w:val="0"/>
      <w:marRight w:val="0"/>
      <w:marTop w:val="0"/>
      <w:marBottom w:val="0"/>
      <w:divBdr>
        <w:top w:val="none" w:sz="0" w:space="0" w:color="auto"/>
        <w:left w:val="none" w:sz="0" w:space="0" w:color="auto"/>
        <w:bottom w:val="none" w:sz="0" w:space="0" w:color="auto"/>
        <w:right w:val="none" w:sz="0" w:space="0" w:color="auto"/>
      </w:divBdr>
    </w:div>
    <w:div w:id="774206451">
      <w:bodyDiv w:val="1"/>
      <w:marLeft w:val="0"/>
      <w:marRight w:val="0"/>
      <w:marTop w:val="0"/>
      <w:marBottom w:val="0"/>
      <w:divBdr>
        <w:top w:val="none" w:sz="0" w:space="0" w:color="auto"/>
        <w:left w:val="none" w:sz="0" w:space="0" w:color="auto"/>
        <w:bottom w:val="none" w:sz="0" w:space="0" w:color="auto"/>
        <w:right w:val="none" w:sz="0" w:space="0" w:color="auto"/>
      </w:divBdr>
    </w:div>
    <w:div w:id="1089889618">
      <w:bodyDiv w:val="1"/>
      <w:marLeft w:val="0"/>
      <w:marRight w:val="0"/>
      <w:marTop w:val="0"/>
      <w:marBottom w:val="0"/>
      <w:divBdr>
        <w:top w:val="none" w:sz="0" w:space="0" w:color="auto"/>
        <w:left w:val="none" w:sz="0" w:space="0" w:color="auto"/>
        <w:bottom w:val="none" w:sz="0" w:space="0" w:color="auto"/>
        <w:right w:val="none" w:sz="0" w:space="0" w:color="auto"/>
      </w:divBdr>
    </w:div>
    <w:div w:id="1403716137">
      <w:bodyDiv w:val="1"/>
      <w:marLeft w:val="0"/>
      <w:marRight w:val="0"/>
      <w:marTop w:val="0"/>
      <w:marBottom w:val="0"/>
      <w:divBdr>
        <w:top w:val="none" w:sz="0" w:space="0" w:color="auto"/>
        <w:left w:val="none" w:sz="0" w:space="0" w:color="auto"/>
        <w:bottom w:val="none" w:sz="0" w:space="0" w:color="auto"/>
        <w:right w:val="none" w:sz="0" w:space="0" w:color="auto"/>
      </w:divBdr>
    </w:div>
    <w:div w:id="1634211037">
      <w:bodyDiv w:val="1"/>
      <w:marLeft w:val="0"/>
      <w:marRight w:val="0"/>
      <w:marTop w:val="0"/>
      <w:marBottom w:val="0"/>
      <w:divBdr>
        <w:top w:val="none" w:sz="0" w:space="0" w:color="auto"/>
        <w:left w:val="none" w:sz="0" w:space="0" w:color="auto"/>
        <w:bottom w:val="none" w:sz="0" w:space="0" w:color="auto"/>
        <w:right w:val="none" w:sz="0" w:space="0" w:color="auto"/>
      </w:divBdr>
    </w:div>
    <w:div w:id="1641765371">
      <w:bodyDiv w:val="1"/>
      <w:marLeft w:val="0"/>
      <w:marRight w:val="0"/>
      <w:marTop w:val="0"/>
      <w:marBottom w:val="0"/>
      <w:divBdr>
        <w:top w:val="none" w:sz="0" w:space="0" w:color="auto"/>
        <w:left w:val="none" w:sz="0" w:space="0" w:color="auto"/>
        <w:bottom w:val="none" w:sz="0" w:space="0" w:color="auto"/>
        <w:right w:val="none" w:sz="0" w:space="0" w:color="auto"/>
      </w:divBdr>
      <w:divsChild>
        <w:div w:id="732847731">
          <w:marLeft w:val="0"/>
          <w:marRight w:val="0"/>
          <w:marTop w:val="0"/>
          <w:marBottom w:val="0"/>
          <w:divBdr>
            <w:top w:val="none" w:sz="0" w:space="0" w:color="auto"/>
            <w:left w:val="none" w:sz="0" w:space="0" w:color="auto"/>
            <w:bottom w:val="none" w:sz="0" w:space="0" w:color="auto"/>
            <w:right w:val="none" w:sz="0" w:space="0" w:color="auto"/>
          </w:divBdr>
        </w:div>
        <w:div w:id="2017343897">
          <w:marLeft w:val="0"/>
          <w:marRight w:val="0"/>
          <w:marTop w:val="0"/>
          <w:marBottom w:val="0"/>
          <w:divBdr>
            <w:top w:val="none" w:sz="0" w:space="0" w:color="auto"/>
            <w:left w:val="none" w:sz="0" w:space="0" w:color="auto"/>
            <w:bottom w:val="none" w:sz="0" w:space="0" w:color="auto"/>
            <w:right w:val="none" w:sz="0" w:space="0" w:color="auto"/>
          </w:divBdr>
        </w:div>
        <w:div w:id="699936582">
          <w:marLeft w:val="0"/>
          <w:marRight w:val="0"/>
          <w:marTop w:val="0"/>
          <w:marBottom w:val="0"/>
          <w:divBdr>
            <w:top w:val="none" w:sz="0" w:space="0" w:color="auto"/>
            <w:left w:val="none" w:sz="0" w:space="0" w:color="auto"/>
            <w:bottom w:val="none" w:sz="0" w:space="0" w:color="auto"/>
            <w:right w:val="none" w:sz="0" w:space="0" w:color="auto"/>
          </w:divBdr>
        </w:div>
        <w:div w:id="382100527">
          <w:marLeft w:val="0"/>
          <w:marRight w:val="0"/>
          <w:marTop w:val="0"/>
          <w:marBottom w:val="0"/>
          <w:divBdr>
            <w:top w:val="none" w:sz="0" w:space="0" w:color="auto"/>
            <w:left w:val="none" w:sz="0" w:space="0" w:color="auto"/>
            <w:bottom w:val="none" w:sz="0" w:space="0" w:color="auto"/>
            <w:right w:val="none" w:sz="0" w:space="0" w:color="auto"/>
          </w:divBdr>
        </w:div>
        <w:div w:id="197552681">
          <w:marLeft w:val="0"/>
          <w:marRight w:val="0"/>
          <w:marTop w:val="0"/>
          <w:marBottom w:val="0"/>
          <w:divBdr>
            <w:top w:val="none" w:sz="0" w:space="0" w:color="auto"/>
            <w:left w:val="none" w:sz="0" w:space="0" w:color="auto"/>
            <w:bottom w:val="none" w:sz="0" w:space="0" w:color="auto"/>
            <w:right w:val="none" w:sz="0" w:space="0" w:color="auto"/>
          </w:divBdr>
        </w:div>
        <w:div w:id="1388408921">
          <w:marLeft w:val="0"/>
          <w:marRight w:val="0"/>
          <w:marTop w:val="0"/>
          <w:marBottom w:val="0"/>
          <w:divBdr>
            <w:top w:val="none" w:sz="0" w:space="0" w:color="auto"/>
            <w:left w:val="none" w:sz="0" w:space="0" w:color="auto"/>
            <w:bottom w:val="none" w:sz="0" w:space="0" w:color="auto"/>
            <w:right w:val="none" w:sz="0" w:space="0" w:color="auto"/>
          </w:divBdr>
        </w:div>
        <w:div w:id="883102378">
          <w:marLeft w:val="0"/>
          <w:marRight w:val="0"/>
          <w:marTop w:val="0"/>
          <w:marBottom w:val="0"/>
          <w:divBdr>
            <w:top w:val="none" w:sz="0" w:space="0" w:color="auto"/>
            <w:left w:val="none" w:sz="0" w:space="0" w:color="auto"/>
            <w:bottom w:val="none" w:sz="0" w:space="0" w:color="auto"/>
            <w:right w:val="none" w:sz="0" w:space="0" w:color="auto"/>
          </w:divBdr>
        </w:div>
        <w:div w:id="165945044">
          <w:marLeft w:val="0"/>
          <w:marRight w:val="0"/>
          <w:marTop w:val="0"/>
          <w:marBottom w:val="0"/>
          <w:divBdr>
            <w:top w:val="none" w:sz="0" w:space="0" w:color="auto"/>
            <w:left w:val="none" w:sz="0" w:space="0" w:color="auto"/>
            <w:bottom w:val="none" w:sz="0" w:space="0" w:color="auto"/>
            <w:right w:val="none" w:sz="0" w:space="0" w:color="auto"/>
          </w:divBdr>
        </w:div>
        <w:div w:id="882866374">
          <w:marLeft w:val="0"/>
          <w:marRight w:val="0"/>
          <w:marTop w:val="0"/>
          <w:marBottom w:val="0"/>
          <w:divBdr>
            <w:top w:val="none" w:sz="0" w:space="0" w:color="auto"/>
            <w:left w:val="none" w:sz="0" w:space="0" w:color="auto"/>
            <w:bottom w:val="none" w:sz="0" w:space="0" w:color="auto"/>
            <w:right w:val="none" w:sz="0" w:space="0" w:color="auto"/>
          </w:divBdr>
        </w:div>
      </w:divsChild>
    </w:div>
    <w:div w:id="1655064646">
      <w:bodyDiv w:val="1"/>
      <w:marLeft w:val="0"/>
      <w:marRight w:val="0"/>
      <w:marTop w:val="0"/>
      <w:marBottom w:val="0"/>
      <w:divBdr>
        <w:top w:val="none" w:sz="0" w:space="0" w:color="auto"/>
        <w:left w:val="none" w:sz="0" w:space="0" w:color="auto"/>
        <w:bottom w:val="none" w:sz="0" w:space="0" w:color="auto"/>
        <w:right w:val="none" w:sz="0" w:space="0" w:color="auto"/>
      </w:divBdr>
    </w:div>
    <w:div w:id="1787693326">
      <w:bodyDiv w:val="1"/>
      <w:marLeft w:val="0"/>
      <w:marRight w:val="0"/>
      <w:marTop w:val="0"/>
      <w:marBottom w:val="0"/>
      <w:divBdr>
        <w:top w:val="none" w:sz="0" w:space="0" w:color="auto"/>
        <w:left w:val="none" w:sz="0" w:space="0" w:color="auto"/>
        <w:bottom w:val="none" w:sz="0" w:space="0" w:color="auto"/>
        <w:right w:val="none" w:sz="0" w:space="0" w:color="auto"/>
      </w:divBdr>
    </w:div>
    <w:div w:id="1804032918">
      <w:bodyDiv w:val="1"/>
      <w:marLeft w:val="0"/>
      <w:marRight w:val="0"/>
      <w:marTop w:val="0"/>
      <w:marBottom w:val="0"/>
      <w:divBdr>
        <w:top w:val="none" w:sz="0" w:space="0" w:color="auto"/>
        <w:left w:val="none" w:sz="0" w:space="0" w:color="auto"/>
        <w:bottom w:val="none" w:sz="0" w:space="0" w:color="auto"/>
        <w:right w:val="none" w:sz="0" w:space="0" w:color="auto"/>
      </w:divBdr>
    </w:div>
    <w:div w:id="1949577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1251</Words>
  <Characters>7136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Druha Karunakaran</dc:creator>
  <cp:keywords/>
  <dc:description/>
  <cp:lastModifiedBy>Druha Karunakaran</cp:lastModifiedBy>
  <cp:revision>2</cp:revision>
  <dcterms:created xsi:type="dcterms:W3CDTF">2018-11-12T04:51:00Z</dcterms:created>
  <dcterms:modified xsi:type="dcterms:W3CDTF">2018-11-12T04:51:00Z</dcterms:modified>
</cp:coreProperties>
</file>