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eastAsia="Georgia"/>
          <w:b/>
          <w:color w:val="0F0F0F"/>
          <w:sz w:val="44"/>
        </w:rPr>
        <w:t>Análisis de línea gráfica</w:t>
      </w:r>
    </w:p>
    <w:p>
      <w:pPr>
        <w:jc w:val="center"/>
      </w:pPr>
      <w:r>
        <w:rPr>
          <w:rFonts w:ascii="Arial" w:hAnsi="Arial" w:eastAsia="Arial"/>
          <w:color w:val="6B5C4A"/>
          <w:sz w:val="21"/>
        </w:rPr>
        <w:t>Parámetros visuales para replicar el estilo en una futura página web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6B5C4A"/>
          <w:sz w:val="19"/>
        </w:rPr>
        <w:t>Este documento analiza cinco piezas verticales en formato PNG. La lectura se centra en paleta cromática, tipografía, jerarquía visual, componentes y tono de marca. No incluye propuesta de diseño web ni código.</w:t>
      </w:r>
    </w:p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1. Lectura general del estilo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11E1A"/>
          <w:sz w:val="21"/>
        </w:rPr>
        <w:t>La línea gráfica combina estética editorial premium con interiorismo cálido y minimalista. La composición usa fondos claros, tipografía serif de alto contraste, acentos taupe, fotografías de espacios neutros y una estructura visual limpia. El resultado transmite asesoría especializada, elegancia, calma, confianza y valor inmobiliario percibido.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11E1A"/>
          <w:sz w:val="21"/>
        </w:rPr>
        <w:t>Formato observado: piezas verticales de 1055 × 1491 px, proporción muy cercana a A4 vertical. La grilla se apoya en márgenes amplios, eje central marcado por el logotipo y separadores finos, más composiciones alternadas entre texto e imagen.</w:t>
      </w:r>
    </w:p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2. Paleta de colores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11E1A"/>
          <w:sz w:val="21"/>
        </w:rPr>
        <w:t>Los siguientes colores son muestras representativas extraídas y consolidadas desde los PNG. En la práctica, la imagen trabaja con muchas variaciones por antialiasing, textura fotográfica y transparencias; por eso se recomienda usar estos códigos como base de sistema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Muestra</w:t>
            </w:r>
          </w:p>
        </w:tc>
        <w:tc>
          <w:tcPr>
            <w:tcW w:type="dxa" w:w="19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HEX</w:t>
            </w:r>
          </w:p>
        </w:tc>
        <w:tc>
          <w:tcPr>
            <w:tcW w:type="dxa" w:w="19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RGB</w:t>
            </w:r>
          </w:p>
        </w:tc>
        <w:tc>
          <w:tcPr>
            <w:tcW w:type="dxa" w:w="19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9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1950"/>
            <w:shd w:fill="FFFFFF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#FFFFFF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255, 255, 255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Blanco puro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Luz, respiración, zonas limpias y fondo base.</w:t>
            </w:r>
          </w:p>
        </w:tc>
      </w:tr>
      <w:tr>
        <w:tc>
          <w:tcPr>
            <w:tcW w:type="dxa" w:w="1950"/>
            <w:shd w:fill="FEFDFD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#FEFDFD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254, 253, 253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Blanco cálido principal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Fondo dominante de las páginas.</w:t>
            </w:r>
          </w:p>
        </w:tc>
      </w:tr>
      <w:tr>
        <w:tc>
          <w:tcPr>
            <w:tcW w:type="dxa" w:w="1950"/>
            <w:shd w:fill="F7F4F2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#F7F4F2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247, 244, 242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Marfil cálido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Fondo secundario, áreas suaves y atmósfera premium.</w:t>
            </w:r>
          </w:p>
        </w:tc>
      </w:tr>
      <w:tr>
        <w:tc>
          <w:tcPr>
            <w:tcW w:type="dxa" w:w="1950"/>
            <w:shd w:fill="F1ECE8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#F1ECE8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241, 236, 232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Beige claro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Cajas, bloques y fondos de apoyo.</w:t>
            </w:r>
          </w:p>
        </w:tc>
      </w:tr>
      <w:tr>
        <w:tc>
          <w:tcPr>
            <w:tcW w:type="dxa" w:w="1950"/>
            <w:shd w:fill="D9D0C7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#D9D0C7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217, 208, 199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Arena claro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Separadores suaves, líneas internas y fondos de baja intensidad.</w:t>
            </w:r>
          </w:p>
        </w:tc>
      </w:tr>
      <w:tr>
        <w:tc>
          <w:tcPr>
            <w:tcW w:type="dxa" w:w="1950"/>
            <w:shd w:fill="AB9C8B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#AB9C8B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171, 156, 139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Taupe claro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Numeración, microdetalles y acentos elegantes.</w:t>
            </w:r>
          </w:p>
        </w:tc>
      </w:tr>
      <w:tr>
        <w:tc>
          <w:tcPr>
            <w:tcW w:type="dxa" w:w="1950"/>
            <w:shd w:fill="A38C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#A38C74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163, 140, 116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Taupe medio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Líneas, botones, iconos y jerarquías secundarias.</w:t>
            </w:r>
          </w:p>
        </w:tc>
      </w:tr>
      <w:tr>
        <w:tc>
          <w:tcPr>
            <w:tcW w:type="dxa" w:w="19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#917A69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145, 122, 105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Marrón taupe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Bordes principales, contornos y detalles finos.</w:t>
            </w:r>
          </w:p>
        </w:tc>
      </w:tr>
      <w:tr>
        <w:tc>
          <w:tcPr>
            <w:tcW w:type="dxa" w:w="1950"/>
            <w:shd w:fill="6B5C4A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#6B5C4A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107, 92, 74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Café grisáceo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Citas, subtítulos y texto secundario cálido.</w:t>
            </w:r>
          </w:p>
        </w:tc>
      </w:tr>
      <w:tr>
        <w:tc>
          <w:tcPr>
            <w:tcW w:type="dxa" w:w="1950"/>
            <w:shd w:fill="0F0F0F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#0F0F0F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15, 15, 15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Negro editorial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Títulos, logo y texto de máxima jerarquía.</w:t>
            </w:r>
          </w:p>
        </w:tc>
      </w:tr>
      <w:tr>
        <w:tc>
          <w:tcPr>
            <w:tcW w:type="dxa" w:w="1950"/>
            <w:shd w:fill="56583B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/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#56583B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86, 88, 59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Verde oliva natural</w:t>
            </w:r>
          </w:p>
        </w:tc>
        <w:tc>
          <w:tcPr>
            <w:tcW w:type="dxa" w:w="19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Acento orgánico proveniente de plantas y elementos decorativos.</w:t>
            </w:r>
          </w:p>
        </w:tc>
      </w:tr>
    </w:tbl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6B5C4A"/>
          <w:sz w:val="19"/>
        </w:rPr>
        <w:t>Comportamiento cromático: predomina una base blanco-marfil de baja saturación. El contraste se concentra en títulos negros y acentos taupe. Las fotos agregan textura con beige, lino, piedra, madera clara y verde oliva.</w:t>
      </w:r>
    </w:p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3. Tipografía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11E1A"/>
          <w:sz w:val="21"/>
        </w:rPr>
        <w:t>La identidad se sostiene en un contraste claro entre una serif editorial para títulos y una sans serif limpia para párrafos, microcopy y datos. La serif tiene alto contraste entre trazos gruesos y finos, remates elegantes y una presencia cercana a Didot/Bodoni.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Uso</w:t>
            </w:r>
          </w:p>
        </w:tc>
        <w:tc>
          <w:tcPr>
            <w:tcW w:type="dxa" w:w="32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Características observadas</w:t>
            </w:r>
          </w:p>
        </w:tc>
        <w:tc>
          <w:tcPr>
            <w:tcW w:type="dxa" w:w="3250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Alternativas Google Fonts</w:t>
            </w:r>
          </w:p>
        </w:tc>
      </w:tr>
      <w:tr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Logotipo “MLM”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Serif de alto contraste, mayúsculas, espaciado controlado, sensación editorial clásica.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Bodoni Moda Semibold / Libre Bodoni Regular / Playfair Display Semibold</w:t>
            </w:r>
          </w:p>
        </w:tc>
      </w:tr>
      <w:tr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H1 y títulos grandes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Serif elegante, alto contraste, peso regular a semibold, tamaño dominante y mucho aire.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Bodoni Moda Regular / Cormorant Garamond Semibold / Playfair Display Regular</w:t>
            </w:r>
          </w:p>
        </w:tc>
      </w:tr>
      <w:tr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Subtítulos y frases destacadas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Serif itálica cálida, color taupe, ritmo editorial y tono aspiracional.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Cormorant Garamond Italic / Playfair Display Italic / Libre Bodoni Italic</w:t>
            </w:r>
          </w:p>
        </w:tc>
      </w:tr>
      <w:tr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Cuerpo de texto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Sans serif geométrica o humanista, peso regular, buena legibilidad, líneas amplias.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Montserrat Regular / Lato Regular / Inter Regular</w:t>
            </w:r>
          </w:p>
        </w:tc>
      </w:tr>
      <w:tr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Microcopy en mayúsculas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Sans serif con tracking alto, peso medio, usado para “INTERIORISMO ESTRATÉGICO” y bajadas.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Montserrat Medium / Lato Medium / Inter Medium</w:t>
            </w:r>
          </w:p>
        </w:tc>
      </w:tr>
      <w:tr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Numeración grande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Serif liviana, color taupe, números con carácter editorial.</w:t>
            </w:r>
          </w:p>
        </w:tc>
        <w:tc>
          <w:tcPr>
            <w:tcW w:type="dxa" w:w="3250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7"/>
              </w:rPr>
              <w:t>Cormorant Garamond Light / Bodoni Moda Regular / Playfair Display Regular</w:t>
            </w:r>
          </w:p>
        </w:tc>
      </w:tr>
    </w:tbl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6B5C4A"/>
          <w:sz w:val="19"/>
        </w:rPr>
        <w:t>Jerarquía aproximada: H1 en serif de gran escala; H2/subtítulos en serif o serif itálica en taupe; cuerpos en sans serif regular; etiquetas en mayúsculas con tracking amplio. La línea gráfica evita pesos excesivamente bold en párrafos y privilegia elegancia, aire y contraste.</w:t>
      </w:r>
    </w:p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4. Componentes visuales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874"/>
            <w:shd w:fill="917A69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Descripción técnica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Bordes exteriores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Marco perimetral muy fino, recto, color taupe/marrón claro. No usa esquinas redondeadas.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Separadores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Líneas horizontales y verticales de 1 px aprox., usadas para ordenar, dar pausa y reforzar la estética editorial.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Cajas de contenido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Bloques rectangulares de fondo marfil/beige claro, sin sombra visible o con sombra extremadamente sutil. Bordes rectos y mucho padding.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Iconos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Line icons simples dentro de círculos: ojo, sofá, diamante, plano y cámara. Trazo fino, monocromático taupe, estilo minimalista.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Checklist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Casillas cuadradas de contorno fino, sin relleno, alineadas a la izquierda con mucho espacio vertical entre ítems.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Botón / CTA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Rectángulo sólido color taupe medio, sin bordes redondeados, texto blanco centrado, peso regular. Sensación sobria, no tecnológica.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Fotografías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Interiores luminosos, paleta beige, materiales naturales, textiles claros, piedra/madera y plantas. La foto funciona como prueba de estilo y valor percibido.</w:t>
            </w:r>
          </w:p>
        </w:tc>
      </w:tr>
      <w:tr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Citas</w:t>
            </w:r>
          </w:p>
        </w:tc>
        <w:tc>
          <w:tcPr>
            <w:tcW w:type="dxa" w:w="4874"/>
            <w:tcBorders>
              <w:top w:val="single" w:sz="4" w:color="D9D0C7"/>
              <w:left w:val="single" w:sz="4" w:color="D9D0C7"/>
              <w:bottom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color w:val="211E1A"/>
                <w:sz w:val="18"/>
              </w:rPr>
              <w:t>Bloques centrados con comillas grandes, serif itálica y líneas divisorias. Transmiten autoridad editorial y reflexión.</w:t>
            </w:r>
          </w:p>
        </w:tc>
      </w:tr>
    </w:tbl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5. Composición, grilla y espaciado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Estructura vertical tipo editorial, con lectura pausada y secciones bien delimitadas.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Logotipo centrado en la parte superior, usado como ancla visual constante.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Márgenes amplios y abundante espacio en blanco para reforzar lujo, calma y claridad.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Uso frecuente de alineación centrada en títulos y citas; texto explicativo alineado a la izquierda en bloques largos.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Grillas de dos columnas en páginas informativas: texto a la izquierda e imagen/cita a la derecha.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Repetición de separadores finos y numeración inferior para dar sensación de documento/guía premium.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Imágenes recortadas con bordes rectos, sin marcos pesados, integradas con la paleta neutra.</w:t>
      </w:r>
    </w:p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6. Identidad visual y tono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11E1A"/>
          <w:sz w:val="21"/>
        </w:rPr>
        <w:t>El diseño comunica interiorismo estratégico, premium y consultivo. No se percibe como una marca fría o corporativa tradicional, sino como una asesoría elegante, cercana y experta que ayuda a elevar el valor percibido de propiedades inmobiliarias.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11E1A"/>
          <w:sz w:val="21"/>
        </w:rPr>
        <w:t>Tono visual: sofisticado, minimalista, editorial, cálido, aspiracional, inmobiliario premium y orientado a inversión. La promesa visual es que el diseño puede convertir una propiedad correcta en una propiedad deseable.</w:t>
      </w:r>
    </w:p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7. Reglas para replicar la línea gráfica en una futura web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Mantener una base blanco-marfil y evitar fondos saturados o contrastes agresivos.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Usar serif editorial para titulares y sans serif limpia para párrafos y navegación.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Reservar el taupe para líneas, iconos, botones, numeración y citas; no abusar del color como bloque dominante.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Priorizar fotografías luminosas, cálidas, con muebles proporcionados, textiles neutros y elementos naturales.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Usar bordes rectos, líneas finas, cajas con mucho aire y CTA sobrios.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Mantener lenguaje visual de guía/asesoría: secciones claras, listas, checklists y frases editoriales.</w:t>
      </w:r>
    </w:p>
    <w:p>
      <w:pPr>
        <w:pStyle w:val="Heading1"/>
        <w:jc w:val="left"/>
      </w:pPr>
      <w:r>
        <w:rPr>
          <w:rFonts w:ascii="Georgia" w:hAnsi="Georgia" w:eastAsia="Georgia"/>
          <w:color w:val="0F0F0F"/>
          <w:sz w:val="36"/>
        </w:rPr>
        <w:t>8. Riesgos a evitar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Usar demasiadas fuentes o reemplazar la serif editorial por una sans serif genérica en titulares.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Aplicar botones con esquinas muy redondeadas, sombras fuertes o colores demasiado vivos.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Usar fotografías frías, oscuras, saturadas o con mobiliario desordenado.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Reducir excesivamente los márgenes: el aire visual es parte central de la identidad.</w:t>
      </w:r>
    </w:p>
    <w:p>
      <w:pPr>
        <w:pStyle w:val="ListBullet"/>
        <w:spacing w:after="60"/>
      </w:pPr>
      <w:r>
        <w:rPr>
          <w:rFonts w:ascii="Arial" w:hAnsi="Arial" w:eastAsia="Arial"/>
          <w:color w:val="211E1A"/>
          <w:sz w:val="20"/>
        </w:rPr>
        <w:t>Cambiar el tono hacia algo demasiado publicitario o agresivo; la marca funciona mejor desde la calma, la autoridad y el deseo.</w:t>
      </w:r>
    </w:p>
    <w:sectPr w:rsidR="00FC693F" w:rsidRPr="0006063C" w:rsidSect="00034616">
      <w:footerReference w:type="default" r:id="rId9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AB9C8B"/>
        <w:sz w:val="16"/>
      </w:rPr>
      <w:t>Análisis técnico de línea gráfica | MLM Interiorismo Estratégico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1E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