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214BB449">
            <wp:simplePos x="0" y="0"/>
            <wp:positionH relativeFrom="margin">
              <wp:posOffset>-1082675</wp:posOffset>
            </wp:positionH>
            <wp:positionV relativeFrom="margin">
              <wp:posOffset>-504190</wp:posOffset>
            </wp:positionV>
            <wp:extent cx="18150840" cy="10213340"/>
            <wp:effectExtent l="0" t="0" r="3810" b="0"/>
            <wp:wrapNone/>
            <wp:doc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INFORME DE SITUACIÓN Y PRONÓSTICO HIDROLÓGICO N°{{ numero_id }}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{{ fecha_emision }}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fecha_pronos_24 }}</w:t>
      </w:r>
    </w:p>
    <w:p w14:paraId="5FACF027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-- USO INTERNO --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F97905">
              <w:rPr>
                <w:rFonts w:ascii="Segoe UI" w:hAnsi="Segoe UI" w:cs="Segoe UI"/>
                <w:sz w:val="22"/>
                <w:szCs w:val="22"/>
              </w:rPr>
              <w:t>nivel_actual_sarandi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tendencia_sarandi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nivel_actual_polanco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tendencia_polanco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nivel_actual_viejo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tendencia_viejo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nivel_actual_nuevo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tendencia_nuevo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fecha_emision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pobs_48_yi }}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pobs_72_yi }}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pronos_sarandi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fecha_sarandi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pronos_polanco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fecha_polanco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pronos_viejo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fecha_viejo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pronos_nuevo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fecha_nuevo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diagnostico_yi }}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recomendacion_yi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F9790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cuareim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cuareim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catalan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catalan }}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catalan }}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artigas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artigas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fecha_emision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pobs_24_cuareim }}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pobs_48_cuareim }}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pobs_72_cuareim }}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pronos_cuareim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fecha_cuareim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pronos_catalan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fecha_catalan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pronos_artigas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fecha_artigas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diagnostico_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recomendacion_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nivel_actual_fmarcos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tasa_fmarcos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tendencia_fmarcos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nivel_actual_pache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tasa_pache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tendencia_pache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nivel_actual_florida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tasa_florida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tendencia_florida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CDAC8E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2F38E80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2698" w:type="dxa"/>
            <w:vAlign w:val="center"/>
          </w:tcPr>
          <w:p w14:paraId="3529625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nivel_actual_varela }}</w:t>
            </w:r>
          </w:p>
        </w:tc>
        <w:tc>
          <w:tcPr>
            <w:tcW w:w="2698" w:type="dxa"/>
            <w:vAlign w:val="center"/>
          </w:tcPr>
          <w:p w14:paraId="0FAEF76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tasa_varela }}</w:t>
            </w:r>
          </w:p>
        </w:tc>
        <w:tc>
          <w:tcPr>
            <w:tcW w:w="2698" w:type="dxa"/>
            <w:gridSpan w:val="2"/>
          </w:tcPr>
          <w:p w14:paraId="4656FD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tendencia_varela }}</w:t>
            </w:r>
          </w:p>
        </w:tc>
        <w:tc>
          <w:tcPr>
            <w:tcW w:w="2698" w:type="dxa"/>
            <w:vAlign w:val="center"/>
          </w:tcPr>
          <w:p w14:paraId="12499B6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nivel_actual_lucia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tasa_lucia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tendencia_lucia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fecha_emision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pronos_pache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fecha_pache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pronos_florida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fecha_florida }}</w:t>
            </w:r>
          </w:p>
        </w:tc>
      </w:tr>
      <w:tr w:rsidR="00182453" w:rsidRPr="003C7CD1" w14:paraId="59F9772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43452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465ECFE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pronos_varela }}</w:t>
            </w:r>
          </w:p>
        </w:tc>
        <w:tc>
          <w:tcPr>
            <w:tcW w:w="4410" w:type="dxa"/>
            <w:gridSpan w:val="2"/>
          </w:tcPr>
          <w:p w14:paraId="3E5B91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fecha_varela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pronos_santalucia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fecha_santalucia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diagnostico_santalucia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recomendacion_santalucia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205749893" name="Picture 20574989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205749893" name="Picture 20574989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(Arg)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nivel_actual_libres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tasa_libres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tendencia_libres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nivel_actual_bella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tasa_bella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tendencia_bella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nivel_actual_salto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tasa_salto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tendencia_salto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nivel_actual_ps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tasa_ps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tendencia_ps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nivel_actual_bentos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tasa_bentos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tendencia_bentos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fecha_emision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q_erogado_ctm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pronos_bellaunion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fecha_bellaunion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pronos_salto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fecha_salto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pronos_paysandu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fecha_paysandu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pronos_fraybentos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fecha_fraybentos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diagnostico_uruguay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recomendacion_uruguay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37DBEBCF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6A1A4790" w:rsidR="00D179B9" w:rsidRDefault="00CF6B76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D3849A4" wp14:editId="03821F90">
                                  <wp:extent cx="5687568" cy="7909560"/>
                                  <wp:effectExtent l="0" t="0" r="8890" b="0"/>
                                  <wp:docPr id="1798008018" name="Picture 1798008018" descr="Placeholder_5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008018" name="Picture 1798008018" descr="Placeholder_5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56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6A1A4790" w:rsidR="00D179B9" w:rsidRDefault="00CF6B76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D3849A4" wp14:editId="03821F90">
                            <wp:extent cx="5687568" cy="7909560"/>
                            <wp:effectExtent l="0" t="0" r="8890" b="0"/>
                            <wp:docPr id="1798008018" name="Picture 1798008018" descr="Placeholder_5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008018" name="Picture 1798008018" descr="Placeholder_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56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nivel_actual_gregorio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tasa_gregorio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tendencia_gregorio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nivel_actual_mercedes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tasa_mercedes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tendencia_mercedes }}</w:t>
            </w:r>
          </w:p>
        </w:tc>
        <w:tc>
          <w:tcPr>
            <w:tcW w:w="2340" w:type="dxa"/>
            <w:vAlign w:val="center"/>
          </w:tcPr>
          <w:p w14:paraId="3C40E2F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fecha_emision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q_erogado_bonete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q_erogado_palmar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pronos_gregorio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fecha_gregorio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pronos_mercedes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 fecha_mercedes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diagnostico_negro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{{ recomendacion_negro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655C1DA7" w14:textId="77777777" w:rsidR="003D6552" w:rsidRPr="00182453" w:rsidRDefault="003D6552">
      <w:pPr>
        <w:spacing w:line="240" w:lineRule="auto"/>
        <w:contextualSpacing w:val="0"/>
        <w:jc w:val="left"/>
      </w:pPr>
      <w:r w:rsidRPr="00182453">
        <w:br w:type="page"/>
      </w: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Lorem ipsum dolor sit amet, consectetur adipiscing elit.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Lorem ipsum dolor sit amet, consectetur adipiscing elit.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Maecenas malesuada mauris sit amet sodales tincidunt.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Sed suscipit mauris et urna congue volutpat.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In non diam eleifend, volutpat turpis vel, blandit nulla.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 euismod turpis congue justo sagittis, quis dignissim est mattis.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1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luNA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Lorem ipsum dolor sit amet, consectetur adipiscing elit.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Lorem ipsum dolor sit amet, consectetur adipiscing elit.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Maecenas malesuada mauris sit amet sodales tincidunt.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Sed suscipit mauris et urna congue volutpat.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In non diam eleifend, volutpat turpis vel, blandit nulla.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 euismod turpis congue justo sagittis, quis dignissim est mattis.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D6B4" w14:textId="77777777" w:rsidR="001C2796" w:rsidRDefault="001C2796" w:rsidP="00530FEE">
      <w:pPr>
        <w:spacing w:line="240" w:lineRule="auto"/>
      </w:pPr>
      <w:r>
        <w:separator/>
      </w:r>
    </w:p>
  </w:endnote>
  <w:endnote w:type="continuationSeparator" w:id="0">
    <w:p w14:paraId="1E0BD480" w14:textId="77777777" w:rsidR="001C2796" w:rsidRDefault="001C2796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2464" w14:textId="77777777" w:rsidR="001C2796" w:rsidRDefault="001C2796" w:rsidP="00530FEE">
      <w:pPr>
        <w:spacing w:line="240" w:lineRule="auto"/>
      </w:pPr>
      <w:r>
        <w:separator/>
      </w:r>
    </w:p>
  </w:footnote>
  <w:footnote w:type="continuationSeparator" w:id="0">
    <w:p w14:paraId="57742041" w14:textId="77777777" w:rsidR="001C2796" w:rsidRDefault="001C2796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6060" w14:textId="77777777" w:rsidR="00530FEE" w:rsidRDefault="00530FEE">
    <w:pPr>
      <w:pStyle w:val="Head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238DF3E5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D97A4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79CD4F5E">
          <wp:simplePos x="0" y="0"/>
          <wp:positionH relativeFrom="column">
            <wp:posOffset>6824</wp:posOffset>
          </wp:positionH>
          <wp:positionV relativeFrom="paragraph">
            <wp:posOffset>6824</wp:posOffset>
          </wp:positionV>
          <wp:extent cx="1614170" cy="552450"/>
          <wp:effectExtent l="0" t="0" r="0" b="0"/>
          <wp:wrapTopAndBottom/>
          <wp:docPr id="1645264937" name="Picture 1645264937" descr="A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A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23EA5"/>
    <w:rsid w:val="00530FEE"/>
    <w:rsid w:val="00534125"/>
    <w:rsid w:val="00547E7C"/>
    <w:rsid w:val="00583810"/>
    <w:rsid w:val="00590434"/>
    <w:rsid w:val="005C43C2"/>
    <w:rsid w:val="005E4354"/>
    <w:rsid w:val="005E71A4"/>
    <w:rsid w:val="00622EFC"/>
    <w:rsid w:val="00633010"/>
    <w:rsid w:val="006422AA"/>
    <w:rsid w:val="00644A0D"/>
    <w:rsid w:val="00667928"/>
    <w:rsid w:val="0069076C"/>
    <w:rsid w:val="006A3FF0"/>
    <w:rsid w:val="006C4336"/>
    <w:rsid w:val="006D064E"/>
    <w:rsid w:val="006D78D4"/>
    <w:rsid w:val="006F1FDF"/>
    <w:rsid w:val="00704D85"/>
    <w:rsid w:val="007164B7"/>
    <w:rsid w:val="00767F66"/>
    <w:rsid w:val="007A388B"/>
    <w:rsid w:val="007C7FA4"/>
    <w:rsid w:val="007D4E90"/>
    <w:rsid w:val="008305E7"/>
    <w:rsid w:val="00847B2F"/>
    <w:rsid w:val="00874C47"/>
    <w:rsid w:val="008B4BD5"/>
    <w:rsid w:val="008B5D2C"/>
    <w:rsid w:val="008D0733"/>
    <w:rsid w:val="008D5ED6"/>
    <w:rsid w:val="00904ED3"/>
    <w:rsid w:val="0091311A"/>
    <w:rsid w:val="00915969"/>
    <w:rsid w:val="00917A96"/>
    <w:rsid w:val="00925B51"/>
    <w:rsid w:val="00925DD7"/>
    <w:rsid w:val="00926AEB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D230A"/>
    <w:rsid w:val="00A36FD1"/>
    <w:rsid w:val="00A71BD5"/>
    <w:rsid w:val="00A828F5"/>
    <w:rsid w:val="00A83BD2"/>
    <w:rsid w:val="00A96DFC"/>
    <w:rsid w:val="00AD107F"/>
    <w:rsid w:val="00AD72D5"/>
    <w:rsid w:val="00B158BB"/>
    <w:rsid w:val="00B20567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33A08"/>
    <w:rsid w:val="00D44909"/>
    <w:rsid w:val="00D550E3"/>
    <w:rsid w:val="00D83045"/>
    <w:rsid w:val="00DA1717"/>
    <w:rsid w:val="00DD7F70"/>
    <w:rsid w:val="00DE3783"/>
    <w:rsid w:val="00DF2314"/>
    <w:rsid w:val="00E01EC8"/>
    <w:rsid w:val="00E25A83"/>
    <w:rsid w:val="00E30852"/>
    <w:rsid w:val="00E56F6E"/>
    <w:rsid w:val="00E76B30"/>
    <w:rsid w:val="00F375FA"/>
    <w:rsid w:val="00F60AEA"/>
    <w:rsid w:val="00F670F4"/>
    <w:rsid w:val="00F97905"/>
    <w:rsid w:val="00FA0269"/>
    <w:rsid w:val="00FA3300"/>
    <w:rsid w:val="00FE630F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16</cp:revision>
  <dcterms:created xsi:type="dcterms:W3CDTF">2023-10-21T14:48:00Z</dcterms:created>
  <dcterms:modified xsi:type="dcterms:W3CDTF">2024-02-20T12:57:00Z</dcterms:modified>
</cp:coreProperties>
</file>