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41C6" w14:textId="77777777" w:rsidR="00E0272A" w:rsidRDefault="00E0272A" w:rsidP="00E0272A">
      <w:pPr>
        <w:pStyle w:val="Ttulo1"/>
      </w:pPr>
      <w:r>
        <w:t xml:space="preserve">Evaluación de la metodología </w:t>
      </w:r>
      <w:proofErr w:type="spellStart"/>
      <w:r>
        <w:t>Ensambled</w:t>
      </w:r>
      <w:proofErr w:type="spellEnd"/>
      <w:r>
        <w:t xml:space="preserve"> </w:t>
      </w:r>
      <w:proofErr w:type="spellStart"/>
      <w:r>
        <w:t>Streamflow</w:t>
      </w:r>
      <w:proofErr w:type="spellEnd"/>
      <w:r>
        <w:t xml:space="preserve"> </w:t>
      </w:r>
      <w:proofErr w:type="spellStart"/>
      <w:r>
        <w:t>Prediction</w:t>
      </w:r>
      <w:proofErr w:type="spellEnd"/>
      <w:r>
        <w:t xml:space="preserve"> aplicada a cuencas nivel 2 en Uruguay.</w:t>
      </w:r>
    </w:p>
    <w:p w14:paraId="58E87D95" w14:textId="77777777" w:rsidR="00E0272A" w:rsidRDefault="00E0272A" w:rsidP="00E0272A">
      <w:pPr>
        <w:pStyle w:val="Ttulo1"/>
      </w:pPr>
    </w:p>
    <w:p w14:paraId="31330975" w14:textId="77777777" w:rsidR="00E0272A" w:rsidRDefault="00E0272A" w:rsidP="00E0272A">
      <w:pPr>
        <w:pStyle w:val="Ttulo2"/>
      </w:pPr>
      <w:r>
        <w:t>Introducción.</w:t>
      </w:r>
    </w:p>
    <w:p w14:paraId="002816FA" w14:textId="77777777" w:rsidR="00E0272A" w:rsidRDefault="00E0272A" w:rsidP="00E0272A"/>
    <w:p w14:paraId="450C805D" w14:textId="42F19B25" w:rsidR="000A0304" w:rsidRDefault="000A0304" w:rsidP="000A0304">
      <w:r>
        <w:t>En Uruguay, el Servicio Hidrológico Nacional es responsabilidad de la Dirección Nacional de Aguas (DINAGUA). Las actividades vinculadas directamente a los sistemas de alerta temprana y al pronóstico hidrológico se desarrollan en la Sala de Situación y Pronóstico - Centro de Modelación Hídrica del Servicio Hidrológico de DINAGUA. Entre sus funciones principales se encuentra el desarrollo y la operación de herramientas de evaluación y previsión del estado de los recursos hídricos.</w:t>
      </w:r>
    </w:p>
    <w:p w14:paraId="0BA54129" w14:textId="77777777" w:rsidR="000A0304" w:rsidRDefault="000A0304" w:rsidP="000A0304">
      <w:r>
        <w:t>El pronóstico estacional de la disponibilidad hídrica constituye una herramienta relevante para la toma de decisiones en distintos ámbitos de la gestión pública, incluyendo la agropecuaria, el abastecimiento de agua potable, la generación de energía y el turismo. La sequía prolongada registrada en Uruguay durante el período 2020–2023 evidenció la importancia estratégica de contar con información anticipada y sistemática sobre la evolución esperada de los recursos hídricos, así como la necesidad de fortalecer los sistemas de monitoreo y pronóstico.</w:t>
      </w:r>
    </w:p>
    <w:p w14:paraId="6341BDDA" w14:textId="56EEB5E9" w:rsidR="000A0304" w:rsidRDefault="000A0304" w:rsidP="000A0304">
      <w:r>
        <w:t xml:space="preserve">A nivel global, la Organización Meteorológica Mundial (OMM) impulsó la iniciativa </w:t>
      </w:r>
      <w:proofErr w:type="spellStart"/>
      <w:r>
        <w:t>HydroSOS</w:t>
      </w:r>
      <w:proofErr w:type="spellEnd"/>
      <w:r>
        <w:t xml:space="preserve"> (Global </w:t>
      </w:r>
      <w:proofErr w:type="spellStart"/>
      <w:r>
        <w:t>Hydrological</w:t>
      </w:r>
      <w:proofErr w:type="spellEnd"/>
      <w:r>
        <w:t xml:space="preserve"> Status and Outlook </w:t>
      </w:r>
      <w:proofErr w:type="spellStart"/>
      <w:r>
        <w:t>System</w:t>
      </w:r>
      <w:proofErr w:type="spellEnd"/>
      <w:r>
        <w:t xml:space="preserve">), cuyo objetivo es promover y estandarizar la generación de productos de estado y perspectivas hidrológicas por parte de los países miembros. Esta iniciativa busca mejorar la disponibilidad, comparabilidad y uso operativo de información hidrológica en escalas </w:t>
      </w:r>
      <w:proofErr w:type="spellStart"/>
      <w:r>
        <w:t>subestacionales</w:t>
      </w:r>
      <w:proofErr w:type="spellEnd"/>
      <w:r>
        <w:t xml:space="preserve"> y estacionales.</w:t>
      </w:r>
    </w:p>
    <w:p w14:paraId="45A935FA" w14:textId="2C95D163" w:rsidR="000A0304" w:rsidRDefault="000A0304" w:rsidP="000A0304">
      <w:r>
        <w:t xml:space="preserve">Como parte de este enfoque, la Sala de Situación y Pronóstico de DINAGUA implementa el método Ensemble </w:t>
      </w:r>
      <w:proofErr w:type="spellStart"/>
      <w:r>
        <w:t>Streamflow</w:t>
      </w:r>
      <w:proofErr w:type="spellEnd"/>
      <w:r>
        <w:t xml:space="preserve"> </w:t>
      </w:r>
      <w:proofErr w:type="spellStart"/>
      <w:r>
        <w:t>Prediction</w:t>
      </w:r>
      <w:proofErr w:type="spellEnd"/>
      <w:r>
        <w:t xml:space="preserve"> (ESP) para la elaboración de pronósticos estacionales de caudal y disponibilidad hídrica. El método ESP se basa en la combinación de las condiciones hidrológicas actuales con series históricas de forzantes climáticos, considerando cada año del registro como una posible realización futura. De esta forma, se genera un ensamble de trayectorias hidrológicas que permite caracterizar probabilísticamente la evolución esperada de los recursos hídricos.</w:t>
      </w:r>
    </w:p>
    <w:p w14:paraId="4ED4E6DE" w14:textId="1518F456" w:rsidR="00C36A79" w:rsidRDefault="00C36A79" w:rsidP="000A0304">
      <w:r>
        <w:t xml:space="preserve">En este contexto, resulta fundamental evaluar de forma objetiva el desempeño de los pronósticos estacionales generados mediante el método ESP, con el fin de cuantificar su habilidad predictiva y analizar sus fortalezas y limitaciones. A </w:t>
      </w:r>
      <w:r w:rsidR="00B051D9">
        <w:t>continuación,</w:t>
      </w:r>
      <w:r>
        <w:t xml:space="preserve"> se presenta una evaluación sistemática de sus resultados mediante métricas determinísticas y probabilísticas, considerando distintos meses de emisión y horizontes de pronóstico.</w:t>
      </w:r>
    </w:p>
    <w:p w14:paraId="7C9856D9" w14:textId="7B48AE0D" w:rsidR="00C36A79" w:rsidRDefault="00C36A79">
      <w:r>
        <w:br w:type="page"/>
      </w:r>
    </w:p>
    <w:p w14:paraId="2E4A263B" w14:textId="5EA6B210" w:rsidR="00C36A79" w:rsidRDefault="00C36A79" w:rsidP="00C36A79">
      <w:pPr>
        <w:pStyle w:val="Ttulo2"/>
      </w:pPr>
      <w:r>
        <w:lastRenderedPageBreak/>
        <w:t>Metodología</w:t>
      </w:r>
    </w:p>
    <w:p w14:paraId="3C09F2B8" w14:textId="5BC2ECBA" w:rsidR="00C36A79" w:rsidRDefault="00AB042F" w:rsidP="00AB042F">
      <w:pPr>
        <w:pStyle w:val="Ttulo3"/>
      </w:pPr>
      <w:r>
        <w:t>Modelación</w:t>
      </w:r>
    </w:p>
    <w:p w14:paraId="0A7966D5" w14:textId="0FD5D4F2" w:rsidR="004F3182" w:rsidRDefault="004F3182" w:rsidP="004F3182">
      <w:r>
        <w:t xml:space="preserve">Para la generación de los pronósticos hidrológicos se </w:t>
      </w:r>
      <w:r w:rsidR="00B051D9">
        <w:t xml:space="preserve">implementó la metodología utilizada en la Sala de Situación para la generación de pronósticos estacionales presentados mensualmente en los boletines hidrológicos. Así mismo, se </w:t>
      </w:r>
      <w:r>
        <w:t xml:space="preserve">utilizó el modelo hidrológico conceptual de </w:t>
      </w:r>
      <w:proofErr w:type="spellStart"/>
      <w:r>
        <w:t>Témez</w:t>
      </w:r>
      <w:proofErr w:type="spellEnd"/>
      <w:r>
        <w:t>, en su versión de paso temporal mensual, implementado mediante scripts desarrollados en Python</w:t>
      </w:r>
      <w:r w:rsidR="00B051D9">
        <w:t xml:space="preserve">. </w:t>
      </w:r>
      <w:r>
        <w:t>El modelo fue forzado con series históricas de precipitación y evapotranspiración potencial, y calibrado previamente para las cuencas de estudio.</w:t>
      </w:r>
      <w:r w:rsidR="00B051D9">
        <w:t xml:space="preserve"> </w:t>
      </w:r>
    </w:p>
    <w:p w14:paraId="04EE7322" w14:textId="30AD3FFE" w:rsidR="004F3182" w:rsidRDefault="004F3182" w:rsidP="004F3182">
      <w:r>
        <w:t xml:space="preserve">El período de análisis </w:t>
      </w:r>
      <w:r w:rsidR="00613D5A">
        <w:t xml:space="preserve">de este estudio </w:t>
      </w:r>
      <w:r>
        <w:t>comprende los años 1990 a 2020, intervalo que define tanto el período de simulación hidrológica como el conjunto de años históricos utilizados para la generación del ensamble ESP.</w:t>
      </w:r>
      <w:r w:rsidR="00FA4BAB">
        <w:t xml:space="preserve"> </w:t>
      </w:r>
      <w:r>
        <w:t xml:space="preserve">El método Ensemble </w:t>
      </w:r>
      <w:proofErr w:type="spellStart"/>
      <w:r>
        <w:t>Streamflow</w:t>
      </w:r>
      <w:proofErr w:type="spellEnd"/>
      <w:r>
        <w:t xml:space="preserve"> </w:t>
      </w:r>
      <w:proofErr w:type="spellStart"/>
      <w:r>
        <w:t>Prediction</w:t>
      </w:r>
      <w:proofErr w:type="spellEnd"/>
      <w:r>
        <w:t xml:space="preserve"> (ESP) se aplicó a cada</w:t>
      </w:r>
      <w:r w:rsidR="008C2697">
        <w:t xml:space="preserve"> mes dentro del período de análisis individualmente, considerándolo como</w:t>
      </w:r>
      <w:r>
        <w:t xml:space="preserve"> fecha de emisión del pronóstico</w:t>
      </w:r>
      <w:r w:rsidR="008C2697">
        <w:t>, y así mismo, utilizando las condiciones hidrológicas iniciales correspondientes</w:t>
      </w:r>
      <w:r>
        <w:t xml:space="preserve">. </w:t>
      </w:r>
    </w:p>
    <w:p w14:paraId="2C3202D1" w14:textId="26322E84" w:rsidR="00613D5A" w:rsidRDefault="00613D5A" w:rsidP="004F3182">
      <w:r>
        <w:t xml:space="preserve">A fin de posibilitar el cálculo de cada escenario futuro a partir de las condiciones iniciales del mes </w:t>
      </w:r>
      <w:r w:rsidR="008C2697">
        <w:t>emisión del pronóstico</w:t>
      </w:r>
      <w:r w:rsidR="00FA4BAB">
        <w:t>,</w:t>
      </w:r>
      <w:r>
        <w:t xml:space="preserve"> se realizó una alteración en el código del modelo de </w:t>
      </w:r>
      <w:proofErr w:type="spellStart"/>
      <w:r>
        <w:t>temez</w:t>
      </w:r>
      <w:proofErr w:type="spellEnd"/>
      <w:r>
        <w:t xml:space="preserve"> que está en el GitHub de sala de situación. La modificación agrega como salidas del código los estados internos del modelo. De esta manera, después de una primera simulación histórica 1990-2020 </w:t>
      </w:r>
      <w:r w:rsidR="00FA4BAB">
        <w:t xml:space="preserve">se pueden arrancar diversos escenarios a partir de </w:t>
      </w:r>
      <w:r w:rsidR="008C2697">
        <w:t xml:space="preserve">las </w:t>
      </w:r>
      <w:r w:rsidR="00FA4BAB">
        <w:t xml:space="preserve">condiciones iniciales de cualquier </w:t>
      </w:r>
      <w:r w:rsidR="008C2697">
        <w:t xml:space="preserve">mes </w:t>
      </w:r>
      <w:r w:rsidR="00FA4BAB">
        <w:t xml:space="preserve">dentro de la serie histórica. </w:t>
      </w:r>
    </w:p>
    <w:p w14:paraId="2E664064" w14:textId="7FB68B52" w:rsidR="004F3182" w:rsidRPr="00C36A79" w:rsidRDefault="00FA4BAB" w:rsidP="004F3182">
      <w:r>
        <w:t xml:space="preserve">A partir de dichas condiciones iniciales, el modelo de </w:t>
      </w:r>
      <w:proofErr w:type="spellStart"/>
      <w:r>
        <w:t>Témez</w:t>
      </w:r>
      <w:proofErr w:type="spellEnd"/>
      <w:r>
        <w:t xml:space="preserve"> fue forzado sucesivamente con los forzantes climáticos observados de cada año histórico del período 1990–2020, excluyendo el año de la fecha de emisión. Así se generó un conjunto de trayectorias posibles de caudal futuro. </w:t>
      </w:r>
      <w:r w:rsidR="004F3182">
        <w:t>Cada trayectoria del ensamble representa un escenario hidrológico consistente con un año climático histórico, permitiendo caracterizar la incertidumbre asociada a la evolución futura del sistema hidrológico.</w:t>
      </w:r>
    </w:p>
    <w:p w14:paraId="440029E7" w14:textId="51446C77" w:rsidR="004F3182" w:rsidRDefault="004F3182" w:rsidP="004F3182">
      <w:r>
        <w:t>Los resultados de los pronósticos fueron almacenados en una estructura tabular, donde cada fila representa una combinación única de fecha de emisión y horizonte de pronóstico (lead time). La información se organizó utilizando los siguientes campos:</w:t>
      </w:r>
    </w:p>
    <w:p w14:paraId="44DEED4D" w14:textId="7F271405" w:rsidR="00A2139B" w:rsidRDefault="004F3182" w:rsidP="00A2139B">
      <w:proofErr w:type="spellStart"/>
      <w:r>
        <w:t>fecha_emision</w:t>
      </w:r>
      <w:proofErr w:type="spellEnd"/>
      <w:r w:rsidR="00A2139B">
        <w:t xml:space="preserve"> | lead | </w:t>
      </w:r>
      <w:proofErr w:type="spellStart"/>
      <w:r w:rsidR="00A2139B">
        <w:t>fecha_pronostico</w:t>
      </w:r>
      <w:proofErr w:type="spellEnd"/>
      <w:r w:rsidR="00A2139B">
        <w:t xml:space="preserve"> | </w:t>
      </w:r>
      <w:proofErr w:type="spellStart"/>
      <w:r w:rsidR="00A2139B">
        <w:t>QC_hist</w:t>
      </w:r>
      <w:proofErr w:type="spellEnd"/>
      <w:r w:rsidR="00A2139B">
        <w:t xml:space="preserve"> | </w:t>
      </w:r>
      <w:proofErr w:type="spellStart"/>
      <w:r w:rsidR="00A2139B">
        <w:t>ens_prom</w:t>
      </w:r>
      <w:proofErr w:type="spellEnd"/>
      <w:r w:rsidR="00A2139B">
        <w:t xml:space="preserve"> | ens_1990, …, ens_2020</w:t>
      </w:r>
    </w:p>
    <w:p w14:paraId="2E334D25" w14:textId="6D6C58F7" w:rsidR="004F3182" w:rsidRPr="00A2139B" w:rsidRDefault="00A2139B" w:rsidP="00A2139B">
      <w:pPr>
        <w:rPr>
          <w:color w:val="767171" w:themeColor="background2" w:themeShade="80"/>
          <w:sz w:val="18"/>
          <w:szCs w:val="18"/>
        </w:rPr>
      </w:pPr>
      <w:r>
        <w:rPr>
          <w:color w:val="767171" w:themeColor="background2" w:themeShade="80"/>
          <w:sz w:val="18"/>
          <w:szCs w:val="18"/>
        </w:rPr>
        <w:t>*</w:t>
      </w:r>
      <w:r w:rsidRPr="00A2139B">
        <w:rPr>
          <w:color w:val="767171" w:themeColor="background2" w:themeShade="80"/>
          <w:sz w:val="18"/>
          <w:szCs w:val="18"/>
        </w:rPr>
        <w:t xml:space="preserve">En donde: </w:t>
      </w:r>
      <w:proofErr w:type="spellStart"/>
      <w:r w:rsidRPr="00A2139B">
        <w:rPr>
          <w:color w:val="767171" w:themeColor="background2" w:themeShade="80"/>
          <w:sz w:val="18"/>
          <w:szCs w:val="18"/>
        </w:rPr>
        <w:t>fecha_emision</w:t>
      </w:r>
      <w:proofErr w:type="spellEnd"/>
      <w:r w:rsidRPr="00A2139B">
        <w:rPr>
          <w:color w:val="767171" w:themeColor="background2" w:themeShade="80"/>
          <w:sz w:val="18"/>
          <w:szCs w:val="18"/>
        </w:rPr>
        <w:t xml:space="preserve">: </w:t>
      </w:r>
      <w:r w:rsidR="004F3182" w:rsidRPr="00A2139B">
        <w:rPr>
          <w:color w:val="767171" w:themeColor="background2" w:themeShade="80"/>
          <w:sz w:val="18"/>
          <w:szCs w:val="18"/>
        </w:rPr>
        <w:t>fecha correspondiente al inicio del pronóstico</w:t>
      </w:r>
      <w:r w:rsidRPr="00A2139B">
        <w:rPr>
          <w:color w:val="767171" w:themeColor="background2" w:themeShade="80"/>
          <w:sz w:val="18"/>
          <w:szCs w:val="18"/>
        </w:rPr>
        <w:t xml:space="preserve"> - </w:t>
      </w:r>
      <w:r w:rsidR="004F3182" w:rsidRPr="00A2139B">
        <w:rPr>
          <w:color w:val="767171" w:themeColor="background2" w:themeShade="80"/>
          <w:sz w:val="18"/>
          <w:szCs w:val="18"/>
        </w:rPr>
        <w:t>lead: horizonte de pronóstico expresado en meses</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fecha_pronostico</w:t>
      </w:r>
      <w:proofErr w:type="spellEnd"/>
      <w:r w:rsidR="004F3182" w:rsidRPr="00A2139B">
        <w:rPr>
          <w:color w:val="767171" w:themeColor="background2" w:themeShade="80"/>
          <w:sz w:val="18"/>
          <w:szCs w:val="18"/>
        </w:rPr>
        <w:t>: fecha objetivo del pronóstico (</w:t>
      </w:r>
      <w:proofErr w:type="spellStart"/>
      <w:r w:rsidR="004F3182" w:rsidRPr="00A2139B">
        <w:rPr>
          <w:color w:val="767171" w:themeColor="background2" w:themeShade="80"/>
          <w:sz w:val="18"/>
          <w:szCs w:val="18"/>
        </w:rPr>
        <w:t>fecha_emision</w:t>
      </w:r>
      <w:proofErr w:type="spellEnd"/>
      <w:r w:rsidR="004F3182" w:rsidRPr="00A2139B">
        <w:rPr>
          <w:color w:val="767171" w:themeColor="background2" w:themeShade="80"/>
          <w:sz w:val="18"/>
          <w:szCs w:val="18"/>
        </w:rPr>
        <w:t xml:space="preserve"> + lead)</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QC_hist</w:t>
      </w:r>
      <w:proofErr w:type="spellEnd"/>
      <w:r w:rsidR="004F3182" w:rsidRPr="00A2139B">
        <w:rPr>
          <w:color w:val="767171" w:themeColor="background2" w:themeShade="80"/>
          <w:sz w:val="18"/>
          <w:szCs w:val="18"/>
        </w:rPr>
        <w:t>: caudal simulado utilizando climatología histórica de referencia</w:t>
      </w:r>
      <w:r w:rsidRPr="00A2139B">
        <w:rPr>
          <w:color w:val="767171" w:themeColor="background2" w:themeShade="80"/>
          <w:sz w:val="18"/>
          <w:szCs w:val="18"/>
        </w:rPr>
        <w:t xml:space="preserve"> - </w:t>
      </w:r>
      <w:proofErr w:type="spellStart"/>
      <w:r w:rsidR="004F3182" w:rsidRPr="00A2139B">
        <w:rPr>
          <w:color w:val="767171" w:themeColor="background2" w:themeShade="80"/>
          <w:sz w:val="18"/>
          <w:szCs w:val="18"/>
        </w:rPr>
        <w:t>ens_prom</w:t>
      </w:r>
      <w:proofErr w:type="spellEnd"/>
      <w:r w:rsidR="004F3182" w:rsidRPr="00A2139B">
        <w:rPr>
          <w:color w:val="767171" w:themeColor="background2" w:themeShade="80"/>
          <w:sz w:val="18"/>
          <w:szCs w:val="18"/>
        </w:rPr>
        <w:t>: valor medio del ensamble ESP</w:t>
      </w:r>
      <w:r w:rsidRPr="00A2139B">
        <w:rPr>
          <w:color w:val="767171" w:themeColor="background2" w:themeShade="80"/>
          <w:sz w:val="18"/>
          <w:szCs w:val="18"/>
        </w:rPr>
        <w:t xml:space="preserve"> - </w:t>
      </w:r>
      <w:r w:rsidR="004F3182" w:rsidRPr="00A2139B">
        <w:rPr>
          <w:color w:val="767171" w:themeColor="background2" w:themeShade="80"/>
          <w:sz w:val="18"/>
          <w:szCs w:val="18"/>
        </w:rPr>
        <w:t>ens_1990, ens_1991, …, ens_2020: miembros individuales del ensamble, correspondientes a cada año histórico utilizado como forzante climático.</w:t>
      </w:r>
    </w:p>
    <w:p w14:paraId="4459E5C4" w14:textId="6C8D4199" w:rsidR="00C36A79" w:rsidRDefault="004F3182" w:rsidP="004F3182">
      <w:r>
        <w:t>Esta estructura permitió un análisis flexible tanto de los miembros individuales del ensamble como de estadísticas agregadas, y facilitó la aplicación sistemática de métricas de evaluación.</w:t>
      </w:r>
    </w:p>
    <w:p w14:paraId="021A87DE" w14:textId="51259121" w:rsidR="00347BF0" w:rsidRDefault="00347BF0" w:rsidP="00347BF0">
      <w:pPr>
        <w:pStyle w:val="Ttulo3"/>
      </w:pPr>
      <w:r>
        <w:t>Años análogos</w:t>
      </w:r>
    </w:p>
    <w:p w14:paraId="47A534A9" w14:textId="77777777" w:rsidR="00DD302B" w:rsidRDefault="00347BF0" w:rsidP="00347BF0">
      <w:r>
        <w:t>La selección de años</w:t>
      </w:r>
      <w:r w:rsidR="00DD302B">
        <w:t xml:space="preserve"> análogos</w:t>
      </w:r>
      <w:r>
        <w:t xml:space="preserve"> consiste en buscar en el registro históricos años en los cuales variables climatológicas o hidrológicas se parecen </w:t>
      </w:r>
      <w:r w:rsidR="00DD302B">
        <w:t>a</w:t>
      </w:r>
      <w:r>
        <w:t xml:space="preserve"> las observadas en los meses previos a la emisión del pronóstico.</w:t>
      </w:r>
      <w:r w:rsidR="00DD302B">
        <w:t xml:space="preserve"> </w:t>
      </w:r>
      <w:r>
        <w:t xml:space="preserve">Este método busca </w:t>
      </w:r>
      <w:r w:rsidR="00DD302B">
        <w:t>incrementar</w:t>
      </w:r>
      <w:r>
        <w:t xml:space="preserve"> la capacidad predictiva del ESP considerando la continuidad de condiciones similares </w:t>
      </w:r>
      <w:r w:rsidR="00DD302B">
        <w:t>entre los años análogos y el de pronóstico hacia las condiciones futuras.</w:t>
      </w:r>
    </w:p>
    <w:p w14:paraId="7DAD7CD2" w14:textId="7638FCE6" w:rsidR="00875FE1" w:rsidRDefault="00DD302B" w:rsidP="00347BF0">
      <w:r>
        <w:lastRenderedPageBreak/>
        <w:t xml:space="preserve">En este estudio se analizaron 2 posibilidades para la selección de años análogos, por medio de variables climatológicas e hidrológicas. </w:t>
      </w:r>
      <w:r w:rsidR="008D5E49">
        <w:t xml:space="preserve"> </w:t>
      </w:r>
      <w:r>
        <w:t xml:space="preserve">En el primer caso se construyó una tabla con los valores de precipitación y evapotranspiración mensuales para el período analizado y luego se </w:t>
      </w:r>
      <w:r w:rsidR="00941CDE">
        <w:t>calcularon las anomalías correspondientes a cada mes</w:t>
      </w:r>
      <w:r w:rsidR="00C67BAD">
        <w:t xml:space="preserve"> como (Xi – </w:t>
      </w:r>
      <w:proofErr w:type="spellStart"/>
      <w:r w:rsidR="00C67BAD">
        <w:t>prom_</w:t>
      </w:r>
      <w:proofErr w:type="gramStart"/>
      <w:r w:rsidR="00C67BAD">
        <w:t>X</w:t>
      </w:r>
      <w:proofErr w:type="spellEnd"/>
      <w:r w:rsidR="00C67BAD">
        <w:t>)/</w:t>
      </w:r>
      <w:proofErr w:type="spellStart"/>
      <w:proofErr w:type="gramEnd"/>
      <w:r w:rsidR="00C67BAD">
        <w:t>std_X</w:t>
      </w:r>
      <w:proofErr w:type="spellEnd"/>
      <w:r w:rsidR="00875FE1">
        <w:t xml:space="preserve"> para cada cuenca nivel 3</w:t>
      </w:r>
      <w:r w:rsidR="00941CDE">
        <w:t xml:space="preserve">. </w:t>
      </w:r>
      <w:r w:rsidR="00C67BAD">
        <w:t xml:space="preserve">Luego </w:t>
      </w:r>
      <w:r w:rsidR="00875FE1">
        <w:t>se calculó la diferencia cuadrática entre los últimos 5 meses y los períodos correspondientes en la serie histórica. Así se seleccionaron 8 años con comportamiento de anomalías más semejantes para cada cuenca de nivel 3 dentro de cada cuenca de nivel 2.</w:t>
      </w:r>
    </w:p>
    <w:p w14:paraId="192247DB" w14:textId="432552DA" w:rsidR="000464A0" w:rsidRDefault="000464A0" w:rsidP="000464A0">
      <w:r>
        <w:t>La</w:t>
      </w:r>
      <w:r w:rsidR="008D5E49">
        <w:t xml:space="preserve"> segunda propuesta para seleccionar años análogos que se analizó en este estudio </w:t>
      </w:r>
      <w:r>
        <w:t xml:space="preserve">se basa en caudales análogos. Al realizar la primera corrida del modelo para toda la serie histórica, además de obtener los parámetros internos, se obtuvo el caudal de cada cuenca y se calculó las anomalías de caudal de cada mes. Luego se seleccionaron lo años análogos comparando las </w:t>
      </w:r>
      <w:proofErr w:type="spellStart"/>
      <w:r>
        <w:t>anomalis</w:t>
      </w:r>
      <w:proofErr w:type="spellEnd"/>
      <w:r>
        <w:t xml:space="preserve"> por medio de RSME.</w:t>
      </w:r>
      <w:r w:rsidRPr="000464A0">
        <w:t xml:space="preserve"> </w:t>
      </w:r>
      <w:r>
        <w:t>Así se seleccionaron 8 años con comportamiento de anomalías más semejantes para cada cuenca de nivel 3 dentro de cada cuenca de nivel 2.</w:t>
      </w:r>
    </w:p>
    <w:p w14:paraId="7C78A290" w14:textId="532B6743" w:rsidR="00875FE1" w:rsidRDefault="00875FE1" w:rsidP="00347BF0"/>
    <w:p w14:paraId="74EABB40" w14:textId="148CEEAF" w:rsidR="00347BF0" w:rsidRPr="00347BF0" w:rsidRDefault="00941CDE" w:rsidP="00347BF0">
      <w:r>
        <w:t xml:space="preserve"> </w:t>
      </w:r>
    </w:p>
    <w:p w14:paraId="0FC14AFF" w14:textId="20E3374D" w:rsidR="00AB042F" w:rsidRDefault="00AB042F" w:rsidP="00AB042F">
      <w:pPr>
        <w:pStyle w:val="Ttulo3"/>
      </w:pPr>
      <w:r>
        <w:t>Métricas</w:t>
      </w:r>
    </w:p>
    <w:p w14:paraId="03E58BD9" w14:textId="171CC4AB" w:rsidR="00825745" w:rsidRDefault="00825745" w:rsidP="00825745">
      <w:r>
        <w:t xml:space="preserve">La evaluación del desempeño del sistema ESP se realizó mediante la aplicación de métricas determinísticas </w:t>
      </w:r>
      <w:r w:rsidR="00106300">
        <w:t xml:space="preserve">(compara </w:t>
      </w:r>
      <w:proofErr w:type="spellStart"/>
      <w:r w:rsidR="00106300">
        <w:t>QC_hist</w:t>
      </w:r>
      <w:proofErr w:type="spellEnd"/>
      <w:r w:rsidR="00106300">
        <w:t xml:space="preserve"> con el promedio de los ensambles) </w:t>
      </w:r>
      <w:r>
        <w:t>y probabilísticas</w:t>
      </w:r>
      <w:r w:rsidR="00106300">
        <w:t xml:space="preserve"> (compara </w:t>
      </w:r>
      <w:proofErr w:type="spellStart"/>
      <w:r w:rsidR="00106300">
        <w:t>QC_hist</w:t>
      </w:r>
      <w:proofErr w:type="spellEnd"/>
      <w:r w:rsidR="00106300">
        <w:t xml:space="preserve"> con la distribución de ensambles)</w:t>
      </w:r>
      <w:r>
        <w:t>.</w:t>
      </w:r>
      <w:r w:rsidR="00A2139B">
        <w:t xml:space="preserve"> Las métricas utilizadas fueron:</w:t>
      </w:r>
    </w:p>
    <w:p w14:paraId="46CB68D5" w14:textId="77777777" w:rsidR="00766A1E" w:rsidRPr="00E65604" w:rsidRDefault="00766A1E" w:rsidP="00766A1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048185CE" w14:textId="77777777" w:rsidR="00766A1E" w:rsidRDefault="00766A1E" w:rsidP="00766A1E">
      <w:r w:rsidRPr="0075512C">
        <w:t xml:space="preserve">La métrica compara la calidad del pronóstico probabilístico del ensamble (ESP) frente a un ensamble de referencia construido a partir de la climatología mensual (excluyendo el valor observado correspondiente). </w:t>
      </w:r>
      <w:r>
        <w:t>El primer término de CRPS evalúa el error del ensamble en relación al valor observado, el segundo termino evalúa la dispersión del ensamble (para cada i valor del ensamble se comparan con todos los otros valores j).</w:t>
      </w:r>
    </w:p>
    <w:p w14:paraId="77F6DBD1" w14:textId="77777777" w:rsidR="00766A1E" w:rsidRPr="00E65604" w:rsidRDefault="00766A1E" w:rsidP="00766A1E">
      <w:pPr>
        <w:rPr>
          <w:rStyle w:val="mord"/>
          <w:rFonts w:eastAsiaTheme="minorEastAsia"/>
        </w:rPr>
      </w:pPr>
      <m:oMathPara>
        <m:oMath>
          <m:r>
            <m:rPr>
              <m:sty m:val="p"/>
            </m:rPr>
            <w:rPr>
              <w:rStyle w:val="mord"/>
              <w:rFonts w:ascii="Cambria Math" w:hAnsi="Cambria Math"/>
            </w:rPr>
            <m:t>CRPS</m:t>
          </m:r>
          <m:r>
            <w:rPr>
              <w:rStyle w:val="mrel"/>
              <w:rFonts w:ascii="Cambria Math" w:hAnsi="Cambria Math"/>
            </w:rPr>
            <m:t>=</m:t>
          </m:r>
          <m:f>
            <m:fPr>
              <m:ctrlPr>
                <w:rPr>
                  <w:rStyle w:val="mord"/>
                  <w:rFonts w:ascii="Cambria Math" w:hAnsi="Cambria Math"/>
                </w:rPr>
              </m:ctrlPr>
            </m:fPr>
            <m:num>
              <m:r>
                <w:rPr>
                  <w:rStyle w:val="mord"/>
                  <w:rFonts w:ascii="Cambria Math" w:hAnsi="Cambria Math"/>
                </w:rPr>
                <m:t>1</m:t>
              </m:r>
            </m:num>
            <m:den>
              <m:r>
                <w:rPr>
                  <w:rStyle w:val="mord"/>
                  <w:rFonts w:ascii="Cambria Math" w:hAnsi="Cambria Math"/>
                </w:rPr>
                <m:t>N</m:t>
              </m:r>
            </m:den>
          </m:f>
          <m:r>
            <w:rPr>
              <w:rStyle w:val="mord"/>
              <w:rFonts w:ascii="Cambria Math" w:hAnsi="Cambria Math"/>
            </w:rPr>
            <m:t xml:space="preserve"> </m:t>
          </m:r>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N</m:t>
              </m:r>
            </m:sup>
            <m:e>
              <m:d>
                <m:dPr>
                  <m:begChr m:val="|"/>
                  <m:endChr m:val="|"/>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-O</m:t>
                  </m:r>
                </m:e>
              </m:d>
              <m:r>
                <w:rPr>
                  <w:rStyle w:val="mord"/>
                  <w:rFonts w:ascii="Cambria Math" w:hAnsi="Cambria Math"/>
                </w:rPr>
                <m:t xml:space="preserve">- </m:t>
              </m:r>
              <m:f>
                <m:fPr>
                  <m:ctrlPr>
                    <w:rPr>
                      <w:rStyle w:val="mord"/>
                      <w:rFonts w:ascii="Cambria Math" w:hAnsi="Cambria Math"/>
                      <w:i/>
                    </w:rPr>
                  </m:ctrlPr>
                </m:fPr>
                <m:num>
                  <m:r>
                    <w:rPr>
                      <w:rStyle w:val="mord"/>
                      <w:rFonts w:ascii="Cambria Math" w:hAnsi="Cambria Math"/>
                    </w:rPr>
                    <m:t>1</m:t>
                  </m:r>
                </m:num>
                <m:den>
                  <m:r>
                    <w:rPr>
                      <w:rStyle w:val="mord"/>
                      <w:rFonts w:ascii="Cambria Math" w:hAnsi="Cambria Math"/>
                    </w:rPr>
                    <m:t>2</m:t>
                  </m:r>
                  <m:sSup>
                    <m:sSupPr>
                      <m:ctrlPr>
                        <w:rPr>
                          <w:rStyle w:val="mord"/>
                          <w:rFonts w:ascii="Cambria Math" w:hAnsi="Cambria Math"/>
                          <w:i/>
                        </w:rPr>
                      </m:ctrlPr>
                    </m:sSupPr>
                    <m:e>
                      <m:r>
                        <w:rPr>
                          <w:rStyle w:val="mord"/>
                          <w:rFonts w:ascii="Cambria Math" w:hAnsi="Cambria Math"/>
                        </w:rPr>
                        <m:t>N</m:t>
                      </m:r>
                    </m:e>
                    <m:sup>
                      <m:r>
                        <w:rPr>
                          <w:rStyle w:val="mord"/>
                          <w:rFonts w:ascii="Cambria Math" w:hAnsi="Cambria Math"/>
                        </w:rPr>
                        <m:t>2</m:t>
                      </m:r>
                    </m:sup>
                  </m:sSup>
                </m:den>
              </m:f>
            </m:e>
          </m:nary>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N</m:t>
              </m:r>
            </m:sup>
            <m:e>
              <m:nary>
                <m:naryPr>
                  <m:chr m:val="∑"/>
                  <m:limLoc m:val="undOvr"/>
                  <m:ctrlPr>
                    <w:rPr>
                      <w:rStyle w:val="mord"/>
                      <w:rFonts w:ascii="Cambria Math" w:hAnsi="Cambria Math"/>
                      <w:i/>
                    </w:rPr>
                  </m:ctrlPr>
                </m:naryPr>
                <m:sub>
                  <m:r>
                    <w:rPr>
                      <w:rStyle w:val="mord"/>
                      <w:rFonts w:ascii="Cambria Math" w:hAnsi="Cambria Math"/>
                    </w:rPr>
                    <m:t>i=j</m:t>
                  </m:r>
                </m:sub>
                <m:sup>
                  <m:r>
                    <w:rPr>
                      <w:rStyle w:val="mord"/>
                      <w:rFonts w:ascii="Cambria Math" w:hAnsi="Cambria Math"/>
                    </w:rPr>
                    <m:t>N</m:t>
                  </m:r>
                </m:sup>
                <m:e>
                  <m:d>
                    <m:dPr>
                      <m:begChr m:val="|"/>
                      <m:endChr m:val="|"/>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j</m:t>
                          </m:r>
                        </m:sub>
                      </m:sSub>
                    </m:e>
                  </m:d>
                </m:e>
              </m:nary>
            </m:e>
          </m:nary>
        </m:oMath>
      </m:oMathPara>
    </w:p>
    <w:p w14:paraId="545BD2AB" w14:textId="77777777" w:rsidR="00766A1E" w:rsidRPr="00E65604" w:rsidRDefault="00766A1E" w:rsidP="00766A1E">
      <w:pPr>
        <w:rPr>
          <w:rFonts w:eastAsiaTheme="minorEastAsia"/>
        </w:rPr>
      </w:pPr>
      <m:oMathPara>
        <m:oMath>
          <m:r>
            <w:rPr>
              <w:rFonts w:ascii="Cambria Math" w:hAnsi="Cambria Math"/>
            </w:rPr>
            <m:t xml:space="preserve">CRPSS=1- </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CRPS</m:t>
                      </m:r>
                    </m:e>
                    <m:sub>
                      <m:r>
                        <w:rPr>
                          <w:rFonts w:ascii="Cambria Math" w:hAnsi="Cambria Math"/>
                        </w:rPr>
                        <m:t>ESP</m:t>
                      </m:r>
                    </m:sub>
                  </m:sSub>
                </m:e>
              </m:acc>
            </m:num>
            <m:den>
              <m:acc>
                <m:accPr>
                  <m:chr m:val="̅"/>
                  <m:ctrlPr>
                    <w:rPr>
                      <w:rFonts w:ascii="Cambria Math" w:hAnsi="Cambria Math"/>
                      <w:i/>
                    </w:rPr>
                  </m:ctrlPr>
                </m:accPr>
                <m:e>
                  <m:sSub>
                    <m:sSubPr>
                      <m:ctrlPr>
                        <w:rPr>
                          <w:rFonts w:ascii="Cambria Math" w:hAnsi="Cambria Math"/>
                          <w:i/>
                        </w:rPr>
                      </m:ctrlPr>
                    </m:sSubPr>
                    <m:e>
                      <m:r>
                        <w:rPr>
                          <w:rFonts w:ascii="Cambria Math" w:hAnsi="Cambria Math"/>
                        </w:rPr>
                        <m:t>CRPS</m:t>
                      </m:r>
                    </m:e>
                    <m:sub>
                      <m:r>
                        <w:rPr>
                          <w:rFonts w:ascii="Cambria Math" w:hAnsi="Cambria Math"/>
                        </w:rPr>
                        <m:t>ref</m:t>
                      </m:r>
                    </m:sub>
                  </m:sSub>
                </m:e>
              </m:acc>
            </m:den>
          </m:f>
        </m:oMath>
      </m:oMathPara>
    </w:p>
    <w:p w14:paraId="61ADB9C5" w14:textId="77777777" w:rsidR="00766A1E" w:rsidRDefault="00766A1E" w:rsidP="00766A1E">
      <w:r>
        <w:t>Valores superiores a 0.2 significan una mejora significativa de la calidad del pronóstico de ensambles de ESP comparado a los ensambles de referencia.</w:t>
      </w:r>
    </w:p>
    <w:p w14:paraId="22342198" w14:textId="77777777" w:rsidR="00766A1E" w:rsidRDefault="00766A1E" w:rsidP="00766A1E">
      <w:pPr>
        <w:pStyle w:val="Ttulo4"/>
      </w:pPr>
      <w:proofErr w:type="spellStart"/>
      <w:r w:rsidRPr="00322F5A">
        <w:t>Brier</w:t>
      </w:r>
      <w:proofErr w:type="spellEnd"/>
      <w:r w:rsidRPr="00322F5A">
        <w:t xml:space="preserve"> Score</w:t>
      </w:r>
    </w:p>
    <w:p w14:paraId="44F97AD7" w14:textId="77777777" w:rsidR="00766A1E" w:rsidRDefault="00766A1E" w:rsidP="00766A1E">
      <w:r>
        <w:t xml:space="preserve">El </w:t>
      </w:r>
      <w:proofErr w:type="spellStart"/>
      <w:r>
        <w:t>Brier</w:t>
      </w:r>
      <w:proofErr w:type="spellEnd"/>
      <w:r>
        <w:t xml:space="preserve"> Score refleja la cantidad de miembros del ensamble que reflejan de manera adecuada el comportamiento hidrológico comparado a un umbral. Valores menores indican mejor consistencia entre la probabilidad pronosticada y la ocurrencia observada del evento. Valor por debajo de 0.15 se pueden considerar como un buen ajuste.</w:t>
      </w:r>
    </w:p>
    <w:p w14:paraId="31EA73E8" w14:textId="77777777" w:rsidR="00766A1E" w:rsidRDefault="00766A1E" w:rsidP="00766A1E">
      <m:oMathPara>
        <m:oMath>
          <m:r>
            <w:rPr>
              <w:rFonts w:ascii="Cambria Math" w:hAnsi="Cambria Math"/>
            </w:rPr>
            <m:t>BS=</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w:rPr>
                      <w:rFonts w:ascii="Cambria Math" w:hAnsi="Cambria Math"/>
                    </w:rPr>
                    <m:t xml:space="preserve">(pt- </m:t>
                  </m:r>
                </m:e>
              </m:nary>
              <m:r>
                <w:rPr>
                  <w:rFonts w:ascii="Cambria Math" w:hAnsi="Cambria Math"/>
                </w:rPr>
                <m:t>ot)</m:t>
              </m:r>
            </m:e>
            <m:sup>
              <m:r>
                <w:rPr>
                  <w:rFonts w:ascii="Cambria Math" w:hAnsi="Cambria Math"/>
                </w:rPr>
                <m:t>2</m:t>
              </m:r>
            </m:sup>
          </m:sSup>
        </m:oMath>
      </m:oMathPara>
    </w:p>
    <w:p w14:paraId="0A6D510B" w14:textId="77777777" w:rsidR="00766A1E" w:rsidRDefault="00766A1E" w:rsidP="00766A1E">
      <w:pPr>
        <w:pStyle w:val="Prrafodelista"/>
        <w:numPr>
          <w:ilvl w:val="0"/>
          <w:numId w:val="2"/>
        </w:numPr>
      </w:pPr>
      <w:r>
        <w:t>pt = probabilidad pronosticada por el ESP, la fracción de miembros del ensamble que caen dentro del umbral analizado</w:t>
      </w:r>
    </w:p>
    <w:p w14:paraId="1ECACA98" w14:textId="77777777" w:rsidR="00766A1E" w:rsidRDefault="00766A1E" w:rsidP="00766A1E">
      <w:pPr>
        <w:pStyle w:val="Prrafodelista"/>
        <w:numPr>
          <w:ilvl w:val="0"/>
          <w:numId w:val="2"/>
        </w:numPr>
      </w:pPr>
      <w:proofErr w:type="spellStart"/>
      <w:r>
        <w:lastRenderedPageBreak/>
        <w:t>ot</w:t>
      </w:r>
      <w:proofErr w:type="spellEnd"/>
      <w:r>
        <w:t xml:space="preserve"> = evento observado, 1 si ocurrió o 0 si no ocurrió.</w:t>
      </w:r>
    </w:p>
    <w:p w14:paraId="64CAFA84" w14:textId="77777777" w:rsidR="00766A1E" w:rsidRDefault="00766A1E" w:rsidP="00766A1E">
      <w:r>
        <w:t xml:space="preserve">El </w:t>
      </w:r>
      <w:proofErr w:type="spellStart"/>
      <w:r>
        <w:t>Brier</w:t>
      </w:r>
      <w:proofErr w:type="spellEnd"/>
      <w:r>
        <w:t xml:space="preserve"> score fue aplicado a los percentiles utilizados en </w:t>
      </w:r>
      <w:proofErr w:type="spellStart"/>
      <w:r>
        <w:t>HydroSOS</w:t>
      </w:r>
      <w:proofErr w:type="spellEnd"/>
      <w:r>
        <w:t>. Se evaluó la capacidad del ESP de predecir caudales debajo de Q10, debajo de Q25, entre Q25 y Q50, por encima de Q75 y por encima de Q90. A continuación se pueden observar los resultados para lead time de 1 a 6 meses.</w:t>
      </w:r>
    </w:p>
    <w:p w14:paraId="45B1886C" w14:textId="77777777" w:rsidR="00766A1E" w:rsidRDefault="00766A1E" w:rsidP="00825745"/>
    <w:p w14:paraId="212EEC4B" w14:textId="77777777" w:rsidR="00597997" w:rsidRDefault="00106300" w:rsidP="00825745">
      <w:r w:rsidRPr="00597997">
        <w:rPr>
          <w:rStyle w:val="Ttulo4Car"/>
        </w:rPr>
        <w:t>Nash–</w:t>
      </w:r>
      <w:proofErr w:type="spellStart"/>
      <w:r w:rsidRPr="00597997">
        <w:rPr>
          <w:rStyle w:val="Ttulo4Car"/>
        </w:rPr>
        <w:t>Sutcliffe</w:t>
      </w:r>
      <w:proofErr w:type="spellEnd"/>
      <w:r w:rsidRPr="00597997">
        <w:rPr>
          <w:rStyle w:val="Ttulo4Car"/>
        </w:rPr>
        <w:t xml:space="preserve"> </w:t>
      </w:r>
      <w:proofErr w:type="spellStart"/>
      <w:r w:rsidRPr="00597997">
        <w:rPr>
          <w:rStyle w:val="Ttulo4Car"/>
        </w:rPr>
        <w:t>Efficiency</w:t>
      </w:r>
      <w:proofErr w:type="spellEnd"/>
      <w:r>
        <w:t xml:space="preserve"> </w:t>
      </w:r>
    </w:p>
    <w:p w14:paraId="33C4288C" w14:textId="7C7B4162" w:rsidR="00106300" w:rsidRDefault="00597997" w:rsidP="00825745">
      <w:r>
        <w:t>C</w:t>
      </w:r>
      <w:r w:rsidR="00106300">
        <w:t xml:space="preserve">ompara el cuan bien se desempeña el promedio de los ensambles para pronosticar </w:t>
      </w:r>
      <w:proofErr w:type="spellStart"/>
      <w:r w:rsidR="00106300">
        <w:t>QC_hist</w:t>
      </w:r>
      <w:proofErr w:type="spellEnd"/>
      <w:r w:rsidR="00106300">
        <w:t xml:space="preserve"> en relación al promedio de </w:t>
      </w:r>
      <w:proofErr w:type="spellStart"/>
      <w:r w:rsidR="00106300">
        <w:t>QC_hist</w:t>
      </w:r>
      <w:proofErr w:type="spellEnd"/>
      <w:r w:rsidR="00106300">
        <w:t>.</w:t>
      </w:r>
    </w:p>
    <w:p w14:paraId="1F885A5E" w14:textId="10B46F1A" w:rsidR="00597997" w:rsidRPr="00C60BDF" w:rsidRDefault="00597997" w:rsidP="00825745">
      <w:pPr>
        <w:rPr>
          <w:rFonts w:eastAsiaTheme="minorEastAsia"/>
        </w:rPr>
      </w:pPr>
      <m:oMathPara>
        <m:oMath>
          <m:r>
            <w:rPr>
              <w:rFonts w:ascii="Cambria Math" w:hAnsi="Cambria Math"/>
            </w:rPr>
            <m:t>NS=1-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m:t>
                      </m:r>
                    </m:e>
                    <m:sup>
                      <m:r>
                        <w:rPr>
                          <w:rFonts w:ascii="Cambria Math" w:hAnsi="Cambria Math"/>
                        </w:rPr>
                        <m:t>2</m:t>
                      </m:r>
                    </m:sup>
                  </m:sSup>
                </m:e>
              </m:nary>
            </m:den>
          </m:f>
        </m:oMath>
      </m:oMathPara>
    </w:p>
    <w:p w14:paraId="7516F536" w14:textId="3F8DD25C" w:rsidR="00C60BDF" w:rsidRDefault="00C60BDF" w:rsidP="00825745">
      <w:r>
        <w:rPr>
          <w:rFonts w:eastAsiaTheme="minorEastAsia"/>
        </w:rPr>
        <w:t>Valores superiores a 0 simulan la serie mejor que el promedio. Valores superiores a 0.65 presentan buen ajuste.</w:t>
      </w:r>
    </w:p>
    <w:p w14:paraId="1E8BEA92" w14:textId="77777777" w:rsidR="00270EBF" w:rsidRDefault="00106300" w:rsidP="00825745">
      <w:proofErr w:type="spellStart"/>
      <w:r w:rsidRPr="00270EBF">
        <w:rPr>
          <w:rStyle w:val="Ttulo4Car"/>
        </w:rPr>
        <w:t>Percent</w:t>
      </w:r>
      <w:proofErr w:type="spellEnd"/>
      <w:r w:rsidRPr="00270EBF">
        <w:rPr>
          <w:rStyle w:val="Ttulo4Car"/>
        </w:rPr>
        <w:t xml:space="preserve"> </w:t>
      </w:r>
      <w:proofErr w:type="spellStart"/>
      <w:r w:rsidRPr="00270EBF">
        <w:rPr>
          <w:rStyle w:val="Ttulo4Car"/>
        </w:rPr>
        <w:t>Bias</w:t>
      </w:r>
      <w:proofErr w:type="spellEnd"/>
      <w:r w:rsidRPr="00106300">
        <w:t xml:space="preserve"> </w:t>
      </w:r>
    </w:p>
    <w:p w14:paraId="6A77D198" w14:textId="622BD7B8" w:rsidR="00106300" w:rsidRDefault="00270EBF" w:rsidP="00825745">
      <w:r>
        <w:t>M</w:t>
      </w:r>
      <w:r w:rsidR="00106300" w:rsidRPr="00106300">
        <w:t xml:space="preserve">ide la magnitud de la diferencia </w:t>
      </w:r>
      <w:r>
        <w:t xml:space="preserve">(sesgo) </w:t>
      </w:r>
      <w:r w:rsidR="00106300" w:rsidRPr="00106300">
        <w:t xml:space="preserve">entre el promedio de los ensambles y </w:t>
      </w:r>
      <w:proofErr w:type="spellStart"/>
      <w:r w:rsidR="00106300">
        <w:t>QC_hist</w:t>
      </w:r>
      <w:proofErr w:type="spellEnd"/>
      <w:r w:rsidR="00106300">
        <w:t xml:space="preserve">, normalizado con </w:t>
      </w:r>
      <w:proofErr w:type="spellStart"/>
      <w:r w:rsidR="00106300">
        <w:t>QC_hist</w:t>
      </w:r>
      <w:proofErr w:type="spellEnd"/>
      <w:r w:rsidR="00106300">
        <w:t>.</w:t>
      </w:r>
      <w:r>
        <w:t xml:space="preserve"> </w:t>
      </w:r>
    </w:p>
    <w:p w14:paraId="7C08949E" w14:textId="6CEED3E5" w:rsidR="00270EBF" w:rsidRPr="00270EBF" w:rsidRDefault="00270EBF" w:rsidP="00825745">
      <w:pPr>
        <w:rPr>
          <w:rFonts w:eastAsiaTheme="minorEastAsia"/>
        </w:rPr>
      </w:pPr>
      <m:oMathPara>
        <m:oMath>
          <m:r>
            <w:rPr>
              <w:rFonts w:ascii="Cambria Math" w:hAnsi="Cambria Math"/>
            </w:rPr>
            <m:t>Pbias=100*</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e>
              </m:nary>
            </m:den>
          </m:f>
        </m:oMath>
      </m:oMathPara>
    </w:p>
    <w:p w14:paraId="46FF9C10" w14:textId="7E1EA2AE" w:rsidR="00D255E1" w:rsidRDefault="00D255E1" w:rsidP="00D255E1">
      <w:r>
        <w:t>Un buen ajuste se encuentra en valores de hasta 15%.</w:t>
      </w:r>
    </w:p>
    <w:p w14:paraId="13288CA0" w14:textId="5B6A1BAC" w:rsidR="00C60BDF" w:rsidRPr="00D255E1" w:rsidRDefault="00C60BDF" w:rsidP="00825745"/>
    <w:p w14:paraId="20A8FDEF" w14:textId="77777777" w:rsidR="00C60BDF" w:rsidRPr="00766A1E" w:rsidRDefault="00106300" w:rsidP="00825745">
      <w:proofErr w:type="spellStart"/>
      <w:r w:rsidRPr="00766A1E">
        <w:rPr>
          <w:rStyle w:val="Ttulo4Car"/>
        </w:rPr>
        <w:t>Coefficient</w:t>
      </w:r>
      <w:proofErr w:type="spellEnd"/>
      <w:r w:rsidRPr="00766A1E">
        <w:rPr>
          <w:rStyle w:val="Ttulo4Car"/>
        </w:rPr>
        <w:t xml:space="preserve"> </w:t>
      </w:r>
      <w:proofErr w:type="spellStart"/>
      <w:r w:rsidRPr="00766A1E">
        <w:rPr>
          <w:rStyle w:val="Ttulo4Car"/>
        </w:rPr>
        <w:t>of</w:t>
      </w:r>
      <w:proofErr w:type="spellEnd"/>
      <w:r w:rsidRPr="00766A1E">
        <w:rPr>
          <w:rStyle w:val="Ttulo4Car"/>
        </w:rPr>
        <w:t xml:space="preserve"> </w:t>
      </w:r>
      <w:proofErr w:type="spellStart"/>
      <w:r w:rsidRPr="00766A1E">
        <w:rPr>
          <w:rStyle w:val="Ttulo4Car"/>
        </w:rPr>
        <w:t>Variation</w:t>
      </w:r>
      <w:proofErr w:type="spellEnd"/>
      <w:r w:rsidRPr="00766A1E">
        <w:rPr>
          <w:rStyle w:val="Ttulo4Car"/>
        </w:rPr>
        <w:t xml:space="preserve"> </w:t>
      </w:r>
      <w:proofErr w:type="spellStart"/>
      <w:r w:rsidRPr="00766A1E">
        <w:rPr>
          <w:rStyle w:val="Ttulo4Car"/>
        </w:rPr>
        <w:t>of</w:t>
      </w:r>
      <w:proofErr w:type="spellEnd"/>
      <w:r w:rsidRPr="00766A1E">
        <w:rPr>
          <w:rStyle w:val="Ttulo4Car"/>
        </w:rPr>
        <w:t xml:space="preserve"> RMSE</w:t>
      </w:r>
      <w:r w:rsidRPr="00766A1E">
        <w:t xml:space="preserve"> </w:t>
      </w:r>
    </w:p>
    <w:p w14:paraId="51568D4A" w14:textId="1CC9B787" w:rsidR="00106300" w:rsidRDefault="00C60BDF" w:rsidP="00825745">
      <w:r>
        <w:t>M</w:t>
      </w:r>
      <w:r w:rsidR="00106300" w:rsidRPr="00106300">
        <w:t>ide el error</w:t>
      </w:r>
      <w:r w:rsidR="00106300">
        <w:t xml:space="preserve"> absoluto</w:t>
      </w:r>
      <w:r w:rsidR="00106300" w:rsidRPr="00106300">
        <w:t xml:space="preserve"> </w:t>
      </w:r>
      <w:r>
        <w:t xml:space="preserve">(cuadrático) </w:t>
      </w:r>
      <w:r w:rsidR="00106300" w:rsidRPr="00106300">
        <w:t xml:space="preserve">entre </w:t>
      </w:r>
      <w:r w:rsidR="00106300">
        <w:t xml:space="preserve">el </w:t>
      </w:r>
      <w:r w:rsidR="00106300" w:rsidRPr="00106300">
        <w:t xml:space="preserve">promedio de ensambles y </w:t>
      </w:r>
      <w:proofErr w:type="spellStart"/>
      <w:r w:rsidR="00106300">
        <w:t>QC_hist</w:t>
      </w:r>
      <w:proofErr w:type="spellEnd"/>
      <w:r w:rsidR="00106300" w:rsidRPr="00106300">
        <w:t xml:space="preserve"> normalizad</w:t>
      </w:r>
      <w:r w:rsidR="00106300">
        <w:t xml:space="preserve">o con </w:t>
      </w:r>
      <w:proofErr w:type="spellStart"/>
      <w:r w:rsidR="00106300">
        <w:t>QC_hist</w:t>
      </w:r>
      <w:proofErr w:type="spellEnd"/>
      <w:r>
        <w:t>.</w:t>
      </w:r>
    </w:p>
    <w:p w14:paraId="01928253" w14:textId="2E4DCF55" w:rsidR="00C60BDF" w:rsidRPr="00C60BDF" w:rsidRDefault="00C60BDF" w:rsidP="00825745">
      <w:pPr>
        <w:rPr>
          <w:rFonts w:eastAsiaTheme="minorEastAsia"/>
        </w:rPr>
      </w:pPr>
      <m:oMathPara>
        <m:oMath>
          <m:r>
            <w:rPr>
              <w:rFonts w:ascii="Cambria Math" w:hAnsi="Cambria Math"/>
            </w:rPr>
            <m:t>CV=</m:t>
          </m:r>
          <m:f>
            <m:fPr>
              <m:ctrlPr>
                <w:rPr>
                  <w:rFonts w:ascii="Cambria Math" w:hAnsi="Cambria Math"/>
                  <w:i/>
                </w:rPr>
              </m:ctrlPr>
            </m:fPr>
            <m:num>
              <m:r>
                <w:rPr>
                  <w:rFonts w:ascii="Cambria Math" w:hAnsi="Cambria Math"/>
                </w:rPr>
                <m:t>RMSE</m:t>
              </m:r>
            </m:num>
            <m:den>
              <m:acc>
                <m:accPr>
                  <m:chr m:val="̅"/>
                  <m:ctrlPr>
                    <w:rPr>
                      <w:rFonts w:ascii="Cambria Math" w:hAnsi="Cambria Math"/>
                      <w:i/>
                    </w:rPr>
                  </m:ctrlPr>
                </m:accPr>
                <m:e>
                  <m:r>
                    <w:rPr>
                      <w:rFonts w:ascii="Cambria Math" w:hAnsi="Cambria Math"/>
                    </w:rPr>
                    <m:t>O</m:t>
                  </m:r>
                </m:e>
              </m:acc>
            </m:den>
          </m:f>
        </m:oMath>
      </m:oMathPara>
    </w:p>
    <w:p w14:paraId="7A17C512" w14:textId="384E3285" w:rsidR="00C60BDF" w:rsidRPr="00106300" w:rsidRDefault="00C60BDF" w:rsidP="00825745">
      <w:r>
        <w:rPr>
          <w:rFonts w:eastAsiaTheme="minorEastAsia"/>
        </w:rPr>
        <w:t>Valores inferiores a 0.2 representan buen ajuste.</w:t>
      </w:r>
    </w:p>
    <w:p w14:paraId="15183D99" w14:textId="77777777" w:rsidR="00425F48" w:rsidRDefault="00106300" w:rsidP="00825745">
      <w:r w:rsidRPr="00425F48">
        <w:rPr>
          <w:rStyle w:val="Ttulo4Car"/>
        </w:rPr>
        <w:t>Correlación de Pearson</w:t>
      </w:r>
      <w:r w:rsidRPr="00106300">
        <w:t xml:space="preserve"> </w:t>
      </w:r>
    </w:p>
    <w:p w14:paraId="564784B5" w14:textId="15138EE8" w:rsidR="00322F5A" w:rsidRDefault="00106300" w:rsidP="00825745">
      <w:r w:rsidRPr="00106300">
        <w:t xml:space="preserve">Evalúa </w:t>
      </w:r>
      <w:r w:rsidR="00D255E1">
        <w:t>la sincronización de los picos y bajadas, la forma de la series, y la variabilidad temporal</w:t>
      </w:r>
      <w:r w:rsidRPr="00106300">
        <w:t xml:space="preserve"> entre</w:t>
      </w:r>
      <w:r>
        <w:t xml:space="preserve"> promedio de ensambles </w:t>
      </w:r>
      <w:proofErr w:type="gramStart"/>
      <w:r>
        <w:t xml:space="preserve">y </w:t>
      </w:r>
      <w:r w:rsidRPr="00106300">
        <w:t xml:space="preserve"> </w:t>
      </w:r>
      <w:proofErr w:type="spellStart"/>
      <w:r>
        <w:t>QC</w:t>
      </w:r>
      <w:proofErr w:type="gramEnd"/>
      <w:r>
        <w:t>_hist</w:t>
      </w:r>
      <w:proofErr w:type="spellEnd"/>
      <w:r>
        <w:t>.</w:t>
      </w:r>
    </w:p>
    <w:p w14:paraId="2A5E060B" w14:textId="7F86A4C7" w:rsidR="00D255E1" w:rsidRPr="00D255E1" w:rsidRDefault="00D255E1" w:rsidP="00825745">
      <w:pPr>
        <w:rPr>
          <w:rFonts w:eastAsiaTheme="minorEastAsia"/>
        </w:rPr>
      </w:pPr>
      <m:oMathPara>
        <m:oMath>
          <m:r>
            <w:rPr>
              <w:rFonts w:ascii="Cambria Math" w:hAnsi="Cambria Math"/>
            </w:rPr>
            <m:t xml:space="preserve">r= </m:t>
          </m:r>
          <m:f>
            <m:fPr>
              <m:ctrlPr>
                <w:rPr>
                  <w:rFonts w:ascii="Cambria Math" w:hAnsi="Cambria Math"/>
                  <w:i/>
                </w:rPr>
              </m:ctrlPr>
            </m:fPr>
            <m:num>
              <m:r>
                <w:rPr>
                  <w:rFonts w:ascii="Cambria Math" w:hAnsi="Cambria Math"/>
                </w:rPr>
                <m:t>cov (S,O)</m:t>
              </m:r>
            </m:num>
            <m:den>
              <m:r>
                <w:rPr>
                  <w:rFonts w:ascii="Cambria Math" w:hAnsi="Cambria Math"/>
                </w:rPr>
                <m:t>σSσO</m:t>
              </m:r>
            </m:den>
          </m:f>
        </m:oMath>
      </m:oMathPara>
    </w:p>
    <w:p w14:paraId="6B6C594E" w14:textId="4D775962" w:rsidR="00D255E1" w:rsidRDefault="00D255E1" w:rsidP="00825745">
      <w:r>
        <w:rPr>
          <w:rFonts w:eastAsiaTheme="minorEastAsia"/>
        </w:rPr>
        <w:t>Valores superiores a 0.7 se pueden considerar como buen ayuste.</w:t>
      </w:r>
    </w:p>
    <w:p w14:paraId="38C5BDEA" w14:textId="77777777" w:rsidR="00D255E1" w:rsidRDefault="00D255E1" w:rsidP="0059063A">
      <w:pPr>
        <w:pStyle w:val="Ttulo4"/>
      </w:pPr>
    </w:p>
    <w:p w14:paraId="2163E086" w14:textId="77777777" w:rsidR="00E65604" w:rsidRDefault="00E65604" w:rsidP="00825745"/>
    <w:p w14:paraId="273202FE" w14:textId="0417629A" w:rsidR="00AB042F" w:rsidRPr="00322F5A" w:rsidRDefault="00AB042F" w:rsidP="00AB042F">
      <w:pPr>
        <w:pStyle w:val="Ttulo3"/>
      </w:pPr>
      <w:r>
        <w:lastRenderedPageBreak/>
        <w:t>Escenarios</w:t>
      </w:r>
      <w:r w:rsidR="00347BF0">
        <w:t xml:space="preserve"> de evaluación</w:t>
      </w:r>
    </w:p>
    <w:p w14:paraId="2AD28FDD" w14:textId="16216B2E" w:rsidR="00825745" w:rsidRDefault="00825745" w:rsidP="00825745">
      <w:r>
        <w:t>Las métricas fueron calculadas considerando dos enfoques complementarios</w:t>
      </w:r>
      <w:r w:rsidR="00322F5A">
        <w:t xml:space="preserve">. </w:t>
      </w:r>
      <w:r>
        <w:t>Evaluación global por lead time</w:t>
      </w:r>
      <w:r w:rsidR="00322F5A">
        <w:t xml:space="preserve"> por medio del cual </w:t>
      </w:r>
      <w:r>
        <w:t>las métricas se calcularon agrupando todos los pronósticos correspondientes a un mismo horizonte de pronóstico, independientemente del mes de emisión. Este análisis permite evaluar la degradación de la habilidad predictiva en función del lead time.</w:t>
      </w:r>
    </w:p>
    <w:p w14:paraId="059E87C8" w14:textId="75B090B5" w:rsidR="00322F5A" w:rsidRDefault="00347BF0" w:rsidP="00825745">
      <w:r>
        <w:t>En el segundo enfoque se realiza una e</w:t>
      </w:r>
      <w:r w:rsidR="00825745">
        <w:t>valuación estratificada por mes de emisión</w:t>
      </w:r>
      <w:r w:rsidR="00322F5A">
        <w:t xml:space="preserve">, en donde </w:t>
      </w:r>
      <w:r w:rsidR="00825745">
        <w:t>las métricas se calcularon de forma separada para cada mes del año</w:t>
      </w:r>
      <w:r>
        <w:t xml:space="preserve"> independiente del lead time. Este análisis permite identificar </w:t>
      </w:r>
      <w:r w:rsidR="00825745">
        <w:t xml:space="preserve">la </w:t>
      </w:r>
      <w:r w:rsidR="00322F5A">
        <w:t>variación</w:t>
      </w:r>
      <w:r w:rsidR="00825745">
        <w:t xml:space="preserve"> estacional del desempeño del sistema ESP. </w:t>
      </w:r>
    </w:p>
    <w:p w14:paraId="11AC550F" w14:textId="625185F7" w:rsidR="00347BF0" w:rsidRDefault="00347BF0" w:rsidP="00825745">
      <w:r>
        <w:t>Luego se prosiguió a aplicar el primer enfoque a los resultados obtenidos al realizar el ESP con selección de años análogos.</w:t>
      </w:r>
    </w:p>
    <w:p w14:paraId="39EC0FC7" w14:textId="77777777" w:rsidR="00322F5A" w:rsidRDefault="00322F5A">
      <w:r>
        <w:br w:type="page"/>
      </w:r>
    </w:p>
    <w:p w14:paraId="699583C2" w14:textId="6CB1E027" w:rsidR="00825745" w:rsidRDefault="00322F5A" w:rsidP="00322F5A">
      <w:pPr>
        <w:pStyle w:val="Ttulo2"/>
      </w:pPr>
      <w:r>
        <w:lastRenderedPageBreak/>
        <w:t>Resultados</w:t>
      </w:r>
    </w:p>
    <w:p w14:paraId="77C4E6B3" w14:textId="57D36234" w:rsidR="00373012" w:rsidRDefault="00373012" w:rsidP="00373012"/>
    <w:p w14:paraId="643BCFD4" w14:textId="015DBF56" w:rsidR="00373012" w:rsidRDefault="00373012" w:rsidP="00373012">
      <w:pPr>
        <w:pStyle w:val="Ttulo3"/>
      </w:pPr>
      <w:r>
        <w:t xml:space="preserve">Métricas </w:t>
      </w:r>
      <w:r w:rsidR="000055B3">
        <w:t>d</w:t>
      </w:r>
      <w:r w:rsidR="0059063A">
        <w:t>el ESP clásico.</w:t>
      </w:r>
    </w:p>
    <w:p w14:paraId="6BA38AC3" w14:textId="44B45300" w:rsidR="00CB3DDE" w:rsidRDefault="00CB3DDE" w:rsidP="00CB3DDE"/>
    <w:p w14:paraId="56A22D02" w14:textId="55310B92" w:rsidR="00CB3DDE" w:rsidRDefault="00CB3DDE" w:rsidP="00CB3DD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2456DA70" w14:textId="10EB7CA9" w:rsidR="0048062E" w:rsidRDefault="006C545D" w:rsidP="0048062E">
      <w:r>
        <w:rPr>
          <w:noProof/>
        </w:rPr>
        <w:drawing>
          <wp:anchor distT="0" distB="0" distL="114300" distR="114300" simplePos="0" relativeHeight="251658240" behindDoc="1" locked="0" layoutInCell="1" allowOverlap="1" wp14:anchorId="3E8EF4FE" wp14:editId="046B4A9C">
            <wp:simplePos x="0" y="0"/>
            <wp:positionH relativeFrom="margin">
              <wp:align>right</wp:align>
            </wp:positionH>
            <wp:positionV relativeFrom="paragraph">
              <wp:posOffset>28575</wp:posOffset>
            </wp:positionV>
            <wp:extent cx="3220720" cy="2012950"/>
            <wp:effectExtent l="19050" t="19050" r="17780" b="25400"/>
            <wp:wrapTight wrapText="bothSides">
              <wp:wrapPolygon edited="0">
                <wp:start x="-128" y="-204"/>
                <wp:lineTo x="-128" y="21668"/>
                <wp:lineTo x="21591" y="21668"/>
                <wp:lineTo x="21591" y="-204"/>
                <wp:lineTo x="-128" y="-204"/>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0720" cy="20129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48062E">
        <w:t>La Figura 1 presenta la distribución del CRPSS en función del horizonte de pronóstico (lead time). Se observa una disminución sistemática del desempeño del sistema ESP a medida que aumenta el lead time. Para 1 mes, los valores de CRPSS son consistentemente positivos y elevados, con una mediana cercana a 0.20 y un rango intercuartílico aproximadamente entre 0.17 y 0.25, alcanzando valores máximos superiores a 0.30. En 2 meses, la mediana desciende a valores cercanos a 0.07, con mayor dispersión relativa. A partir de 3 meses, los valores se concentran en torno a 0.02–0.04, con una reducción marcada tanto en la mediana como en la variabilidad. Para horizontes de 4 a 6 meses, el CRPSS se mantiene bajo, con medianas cercanas a 0.02–0.03 y una dispersión acotada, aunque con presencia de algunos valores atípicos positivos.</w:t>
      </w:r>
      <w:r w:rsidRPr="006C545D">
        <w:rPr>
          <w:noProof/>
        </w:rPr>
        <w:t xml:space="preserve"> </w:t>
      </w:r>
    </w:p>
    <w:p w14:paraId="3712DCD8" w14:textId="3F2A5EBE" w:rsidR="00DD4AA1" w:rsidRDefault="006C545D" w:rsidP="00CB3DDE">
      <w:r>
        <w:rPr>
          <w:noProof/>
        </w:rPr>
        <w:drawing>
          <wp:anchor distT="0" distB="0" distL="114300" distR="114300" simplePos="0" relativeHeight="251659264" behindDoc="1" locked="0" layoutInCell="1" allowOverlap="1" wp14:anchorId="3FB02AC0" wp14:editId="12E6E6A1">
            <wp:simplePos x="0" y="0"/>
            <wp:positionH relativeFrom="margin">
              <wp:posOffset>1114425</wp:posOffset>
            </wp:positionH>
            <wp:positionV relativeFrom="paragraph">
              <wp:posOffset>1725930</wp:posOffset>
            </wp:positionV>
            <wp:extent cx="3707130" cy="2620645"/>
            <wp:effectExtent l="19050" t="19050" r="26670" b="2730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07130" cy="262064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6C545D">
        <w:t xml:space="preserve">La Figura 2 muestra la distribución espacial del CRPSS a escala de cuencas de nivel 2 para distintos horizontes de pronóstico. Para 1 mes, se identifican valores elevados en gran parte del territorio, con mayores desempeños concentrados en las cuencas que drenan hacia el río Uruguay, río Negro y el Río de la Plata, particularmente en el oeste, suroeste y sur del país. Para los siguientes horizontes de pronóstico, los valores disminuyen de forma generalizada, estabilizándose en rangos bajos (medianas cercanas a 0.04) y con menor variabilidad espacial. No obstante, se observa que el patrón espacial relativo se conserva entre horizontes, manteniéndose las mismas regiones como aquellas con mayores valores de CRPSS en </w:t>
      </w:r>
      <w:proofErr w:type="gramStart"/>
      <w:r w:rsidRPr="006C545D">
        <w:t>todos los lead</w:t>
      </w:r>
      <w:proofErr w:type="gramEnd"/>
      <w:r w:rsidRPr="006C545D">
        <w:t xml:space="preserve"> times analizados.</w:t>
      </w:r>
    </w:p>
    <w:p w14:paraId="472BCE94" w14:textId="578177F6" w:rsidR="00D255E1" w:rsidRPr="0002511B" w:rsidRDefault="00D255E1" w:rsidP="00D255E1">
      <w:pPr>
        <w:rPr>
          <w:rStyle w:val="Ttulo4Car"/>
        </w:rPr>
      </w:pPr>
      <w:r w:rsidRPr="0002511B">
        <w:rPr>
          <w:rStyle w:val="Ttulo4Car"/>
        </w:rPr>
        <w:lastRenderedPageBreak/>
        <w:t>Brier Score</w:t>
      </w:r>
    </w:p>
    <w:p w14:paraId="0B7F71E4" w14:textId="3A61D24E" w:rsidR="007C7444" w:rsidRDefault="007C7444" w:rsidP="007C7444">
      <w:r>
        <w:t xml:space="preserve">La Figura 3 presenta la distribución del </w:t>
      </w:r>
      <w:proofErr w:type="spellStart"/>
      <w:r>
        <w:t>Brier</w:t>
      </w:r>
      <w:proofErr w:type="spellEnd"/>
      <w:r>
        <w:t xml:space="preserve"> Score para distintos umbrales hidrológicos en función del horizonte de pronóstico. Los eventos de bajo caudal (Q10) presentan los menores valores en todos los horizontes, indicando una mayor capacidad relativa para predecir condiciones extremas secas. En contraste, los rangos intermedios de caudal (Q25–Q75) muestran los mayores valores, evidenciando una menor habilidad del sistema en la predicción de condiciones normales.</w:t>
      </w:r>
    </w:p>
    <w:p w14:paraId="5418169B" w14:textId="77777777" w:rsidR="007C7444" w:rsidRDefault="007C7444" w:rsidP="007C7444">
      <w:r>
        <w:t xml:space="preserve">Para eventos por encima de lo normal (Q75) y de flujo alto (Q90), los valores de </w:t>
      </w:r>
      <w:proofErr w:type="spellStart"/>
      <w:r>
        <w:t>Brier</w:t>
      </w:r>
      <w:proofErr w:type="spellEnd"/>
      <w:r>
        <w:t xml:space="preserve"> Score disminuyen nuevamente, siguiendo un patrón consistente con el observado para caudales bajos. En conjunto, los resultados indican una mayor capacidad predictiva del sistema para eventos extremos (tanto secos como húmedos), con un desempeño relativamente superior en condiciones de bajo caudal.</w:t>
      </w:r>
    </w:p>
    <w:p w14:paraId="49BEC6A5" w14:textId="2B145D70" w:rsidR="00925EE8" w:rsidRDefault="00CB3DDE" w:rsidP="00925EE8">
      <w:r>
        <w:rPr>
          <w:noProof/>
        </w:rPr>
        <w:drawing>
          <wp:inline distT="0" distB="0" distL="0" distR="0" wp14:anchorId="0A627BC8" wp14:editId="37974F5F">
            <wp:extent cx="5367266" cy="4771924"/>
            <wp:effectExtent l="19050" t="19050" r="24130" b="101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67266" cy="4771924"/>
                    </a:xfrm>
                    <a:prstGeom prst="rect">
                      <a:avLst/>
                    </a:prstGeom>
                    <a:noFill/>
                    <a:ln w="12700">
                      <a:solidFill>
                        <a:schemeClr val="tx1"/>
                      </a:solidFill>
                    </a:ln>
                  </pic:spPr>
                </pic:pic>
              </a:graphicData>
            </a:graphic>
          </wp:inline>
        </w:drawing>
      </w:r>
    </w:p>
    <w:p w14:paraId="475169E1" w14:textId="77777777" w:rsidR="00925EE8" w:rsidRDefault="00925EE8" w:rsidP="00925EE8"/>
    <w:p w14:paraId="0A17C544" w14:textId="63CF83AD" w:rsidR="00CB3DDE" w:rsidRDefault="00B80417" w:rsidP="00925EE8">
      <w:pPr>
        <w:pStyle w:val="Ttulo4"/>
      </w:pPr>
      <w:r>
        <w:t xml:space="preserve">Métricas </w:t>
      </w:r>
      <w:r w:rsidR="00B22E77">
        <w:t>determinísticas</w:t>
      </w:r>
    </w:p>
    <w:p w14:paraId="2AFB7DFC" w14:textId="56FEEC66" w:rsidR="00925EE8" w:rsidRDefault="00925EE8" w:rsidP="00925EE8">
      <w:r w:rsidRPr="00925EE8">
        <w:t>Las métricas determinísticas muestran una degradación clara con el lead time</w:t>
      </w:r>
      <w:r w:rsidR="00F735F8">
        <w:t xml:space="preserve"> (figura 4)</w:t>
      </w:r>
      <w:r w:rsidRPr="00925EE8">
        <w:t xml:space="preserve">. </w:t>
      </w:r>
      <w:r>
        <w:t xml:space="preserve">Indican </w:t>
      </w:r>
      <w:r w:rsidR="00F735F8">
        <w:t>que,</w:t>
      </w:r>
      <w:r>
        <w:t xml:space="preserve"> desde el punto de vista determinístico, considerando el valor del promedio de los ensambles como pronostico, e</w:t>
      </w:r>
      <w:r w:rsidRPr="00925EE8">
        <w:t>l sistema tiene habilidad útil en corto plazo, pero pierde rápidamente capacidad predictiva.</w:t>
      </w:r>
    </w:p>
    <w:p w14:paraId="4A95E101" w14:textId="4F5643BF" w:rsidR="00925EE8" w:rsidRDefault="00925EE8" w:rsidP="00925EE8">
      <w:r>
        <w:lastRenderedPageBreak/>
        <w:t>En un lead time de un mes el desempeño es razonable (aunque no fuerte) en todas las métricas. A partir del lead time 2 las métricas determinísticas pasan a presentar muy bajo desempeño de manera general.</w:t>
      </w:r>
    </w:p>
    <w:p w14:paraId="4CF77F38" w14:textId="77777777" w:rsidR="00CB3DDE" w:rsidRPr="00597997" w:rsidRDefault="00CB3DDE" w:rsidP="00CB3DDE">
      <w:r>
        <w:rPr>
          <w:noProof/>
        </w:rPr>
        <w:drawing>
          <wp:inline distT="0" distB="0" distL="0" distR="0" wp14:anchorId="1EF055B8" wp14:editId="42455561">
            <wp:extent cx="5670819" cy="3379529"/>
            <wp:effectExtent l="19050" t="19050" r="25400" b="1143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0819" cy="3379529"/>
                    </a:xfrm>
                    <a:prstGeom prst="rect">
                      <a:avLst/>
                    </a:prstGeom>
                    <a:ln w="12700">
                      <a:solidFill>
                        <a:schemeClr val="tx1"/>
                      </a:solidFill>
                    </a:ln>
                  </pic:spPr>
                </pic:pic>
              </a:graphicData>
            </a:graphic>
          </wp:inline>
        </w:drawing>
      </w:r>
    </w:p>
    <w:p w14:paraId="00AA439C" w14:textId="77777777" w:rsidR="00CB3DDE" w:rsidRDefault="00CB3DDE" w:rsidP="00CB3DDE">
      <w:pPr>
        <w:rPr>
          <w:rStyle w:val="Ttulo4Car"/>
          <w:lang w:val="en-US"/>
        </w:rPr>
      </w:pPr>
    </w:p>
    <w:p w14:paraId="37D530E7" w14:textId="5465640A" w:rsidR="00766A1E" w:rsidRDefault="00766A1E" w:rsidP="00766A1E">
      <w:pPr>
        <w:pStyle w:val="Ttulo3"/>
      </w:pPr>
      <w:r>
        <w:t xml:space="preserve">Métricas </w:t>
      </w:r>
      <w:r w:rsidR="000055B3">
        <w:t>d</w:t>
      </w:r>
      <w:r>
        <w:t>el ESP análogos climáticos.</w:t>
      </w:r>
    </w:p>
    <w:p w14:paraId="08C1ECDB" w14:textId="77777777" w:rsidR="00766A1E" w:rsidRDefault="00766A1E" w:rsidP="00766A1E"/>
    <w:p w14:paraId="12A8465B" w14:textId="6145D394" w:rsidR="00766A1E" w:rsidRDefault="00766A1E" w:rsidP="00766A1E">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1ED52523" w14:textId="41F65289" w:rsidR="001D67A6" w:rsidRDefault="00F735F8" w:rsidP="001D67A6">
      <w:r>
        <w:rPr>
          <w:noProof/>
        </w:rPr>
        <w:drawing>
          <wp:anchor distT="0" distB="0" distL="114300" distR="114300" simplePos="0" relativeHeight="251660288" behindDoc="1" locked="0" layoutInCell="1" allowOverlap="1" wp14:anchorId="3EECB658" wp14:editId="58CED5D0">
            <wp:simplePos x="0" y="0"/>
            <wp:positionH relativeFrom="margin">
              <wp:posOffset>2178685</wp:posOffset>
            </wp:positionH>
            <wp:positionV relativeFrom="paragraph">
              <wp:posOffset>34290</wp:posOffset>
            </wp:positionV>
            <wp:extent cx="3223895" cy="2014855"/>
            <wp:effectExtent l="19050" t="19050" r="14605" b="23495"/>
            <wp:wrapTight wrapText="bothSides">
              <wp:wrapPolygon edited="0">
                <wp:start x="-128" y="-204"/>
                <wp:lineTo x="-128" y="21648"/>
                <wp:lineTo x="21570" y="21648"/>
                <wp:lineTo x="21570" y="-204"/>
                <wp:lineTo x="-128" y="-20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3895" cy="20148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t xml:space="preserve">La figura 5 </w:t>
      </w:r>
      <w:r w:rsidRPr="00F735F8">
        <w:t>presenta la distribución del CRPSS en función del horizonte de pronóstico (lead time)</w:t>
      </w:r>
      <w:r>
        <w:t xml:space="preserve"> para el ESP con años análogos seleccionados a partir de características climáticas</w:t>
      </w:r>
      <w:r w:rsidRPr="00F735F8">
        <w:t>.</w:t>
      </w:r>
      <w:r>
        <w:t xml:space="preserve"> Además de la clara degradación progresiva de la capacidad predictiva a medida que se avanzan los meses de pronóstico, se observa una capacidad predictiva inferior al ESP clásico, con valores de hasta 0.2 en lead time 1.</w:t>
      </w:r>
      <w:r w:rsidRPr="00F735F8">
        <w:t xml:space="preserve"> </w:t>
      </w:r>
      <w:r w:rsidR="001D67A6">
        <w:t xml:space="preserve">También se destaca la presencia de valores negativos a partir del lead time 2, lo que indica que </w:t>
      </w:r>
      <w:r w:rsidR="0034194F">
        <w:t>al filtrar los años del ESP de esta manera, degradamos la capacidad predictiva a tal punto que a partir del lead time 2 sería más conveniente pronosticar basado en la climatología.</w:t>
      </w:r>
    </w:p>
    <w:p w14:paraId="27F0116A" w14:textId="3FD8CA2D" w:rsidR="001D67A6" w:rsidRDefault="001D67A6" w:rsidP="001D67A6"/>
    <w:p w14:paraId="7AD102CD" w14:textId="6BE598C9" w:rsidR="001D67A6" w:rsidRDefault="001D67A6" w:rsidP="001D67A6">
      <w:pPr>
        <w:pStyle w:val="Ttulo4"/>
      </w:pPr>
      <w:proofErr w:type="spellStart"/>
      <w:r>
        <w:lastRenderedPageBreak/>
        <w:t>Brier</w:t>
      </w:r>
      <w:proofErr w:type="spellEnd"/>
      <w:r>
        <w:t xml:space="preserve"> Score</w:t>
      </w:r>
    </w:p>
    <w:p w14:paraId="300FFE10" w14:textId="1C02C4F7" w:rsidR="001D67A6" w:rsidRPr="001D67A6" w:rsidRDefault="001D67A6" w:rsidP="001D67A6">
      <w:pPr>
        <w:rPr>
          <w:rStyle w:val="Ttulo4Car"/>
          <w:rFonts w:asciiTheme="minorHAnsi" w:eastAsiaTheme="minorHAnsi" w:hAnsiTheme="minorHAnsi" w:cstheme="minorBidi"/>
          <w:i w:val="0"/>
          <w:iCs w:val="0"/>
          <w:color w:val="auto"/>
        </w:rPr>
      </w:pPr>
      <w:r>
        <w:t xml:space="preserve">El </w:t>
      </w:r>
      <w:proofErr w:type="spellStart"/>
      <w:r>
        <w:t>Brier</w:t>
      </w:r>
      <w:proofErr w:type="spellEnd"/>
      <w:r>
        <w:t xml:space="preserve"> Score aplicado a los resultados del ESP con años análogos climatológicos (figura 6) también presentó desempeño inferior al ESP clásico para predecir eventos de todas las categorías </w:t>
      </w:r>
      <w:proofErr w:type="spellStart"/>
      <w:r>
        <w:t>HyroSOS</w:t>
      </w:r>
      <w:proofErr w:type="spellEnd"/>
      <w:r>
        <w:t xml:space="preserve">. Vale destacar que también se </w:t>
      </w:r>
      <w:proofErr w:type="spellStart"/>
      <w:r>
        <w:t>observo</w:t>
      </w:r>
      <w:proofErr w:type="spellEnd"/>
      <w:r>
        <w:t xml:space="preserve"> mayor capacidad predictiva para eventos extremos, tanto de flujo alto como de flujo bajo.</w:t>
      </w:r>
    </w:p>
    <w:p w14:paraId="16DAC72D" w14:textId="2252441E" w:rsidR="00766A1E" w:rsidRPr="00D255E1" w:rsidRDefault="00766A1E" w:rsidP="001D67A6">
      <w:r>
        <w:rPr>
          <w:noProof/>
        </w:rPr>
        <w:drawing>
          <wp:inline distT="0" distB="0" distL="0" distR="0" wp14:anchorId="434D1799" wp14:editId="04961982">
            <wp:extent cx="5466179" cy="4859866"/>
            <wp:effectExtent l="19050" t="19050" r="20320" b="171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92185" cy="4882987"/>
                    </a:xfrm>
                    <a:prstGeom prst="rect">
                      <a:avLst/>
                    </a:prstGeom>
                    <a:noFill/>
                    <a:ln w="12700">
                      <a:solidFill>
                        <a:schemeClr val="tx1"/>
                      </a:solidFill>
                    </a:ln>
                  </pic:spPr>
                </pic:pic>
              </a:graphicData>
            </a:graphic>
          </wp:inline>
        </w:drawing>
      </w:r>
    </w:p>
    <w:p w14:paraId="6AF85E41" w14:textId="10504D4D" w:rsidR="001D67A6" w:rsidRDefault="001D67A6" w:rsidP="000055B3">
      <w:pPr>
        <w:pStyle w:val="Ttulo3"/>
      </w:pPr>
    </w:p>
    <w:p w14:paraId="6DB9AFC0" w14:textId="63C2DAF0" w:rsidR="000055B3" w:rsidRDefault="000055B3" w:rsidP="000055B3">
      <w:pPr>
        <w:pStyle w:val="Ttulo3"/>
      </w:pPr>
      <w:r>
        <w:t>Métricas del ESP análogos hidrológicos.</w:t>
      </w:r>
    </w:p>
    <w:p w14:paraId="079839DC" w14:textId="74839EA9" w:rsidR="000055B3" w:rsidRDefault="000055B3" w:rsidP="000055B3"/>
    <w:p w14:paraId="75F06FFB" w14:textId="5DC06DD9" w:rsidR="000055B3" w:rsidRDefault="000055B3" w:rsidP="000055B3">
      <w:proofErr w:type="spellStart"/>
      <w:r w:rsidRPr="00E65604">
        <w:rPr>
          <w:rStyle w:val="Ttulo4Car"/>
        </w:rPr>
        <w:t>Continuous</w:t>
      </w:r>
      <w:proofErr w:type="spellEnd"/>
      <w:r w:rsidRPr="00E65604">
        <w:rPr>
          <w:rStyle w:val="Ttulo4Car"/>
        </w:rPr>
        <w:t xml:space="preserve"> </w:t>
      </w:r>
      <w:proofErr w:type="spellStart"/>
      <w:r w:rsidRPr="00E65604">
        <w:rPr>
          <w:rStyle w:val="Ttulo4Car"/>
        </w:rPr>
        <w:t>Ranked</w:t>
      </w:r>
      <w:proofErr w:type="spellEnd"/>
      <w:r w:rsidRPr="00E65604">
        <w:rPr>
          <w:rStyle w:val="Ttulo4Car"/>
        </w:rPr>
        <w:t xml:space="preserve"> </w:t>
      </w:r>
      <w:proofErr w:type="spellStart"/>
      <w:r w:rsidRPr="00E65604">
        <w:rPr>
          <w:rStyle w:val="Ttulo4Car"/>
        </w:rPr>
        <w:t>Probability</w:t>
      </w:r>
      <w:proofErr w:type="spellEnd"/>
      <w:r w:rsidRPr="00E65604">
        <w:rPr>
          <w:rStyle w:val="Ttulo4Car"/>
        </w:rPr>
        <w:t xml:space="preserve"> </w:t>
      </w:r>
      <w:proofErr w:type="spellStart"/>
      <w:r w:rsidRPr="00E65604">
        <w:rPr>
          <w:rStyle w:val="Ttulo4Car"/>
        </w:rPr>
        <w:t>Skill</w:t>
      </w:r>
      <w:proofErr w:type="spellEnd"/>
      <w:r w:rsidRPr="00E65604">
        <w:rPr>
          <w:rStyle w:val="Ttulo4Car"/>
        </w:rPr>
        <w:t xml:space="preserve"> Score</w:t>
      </w:r>
      <w:r w:rsidRPr="00E65604">
        <w:t xml:space="preserve"> </w:t>
      </w:r>
    </w:p>
    <w:p w14:paraId="4E4F2166" w14:textId="149470CC" w:rsidR="001D67A6" w:rsidRPr="00E65604" w:rsidRDefault="001D67A6" w:rsidP="000055B3">
      <w:r>
        <w:t>La figura</w:t>
      </w:r>
      <w:r w:rsidR="0034194F">
        <w:t xml:space="preserve"> 7 presenta</w:t>
      </w:r>
      <w:r w:rsidRPr="00F735F8">
        <w:t xml:space="preserve"> la distribución del CRPSS en función del horizonte de pronóstico (lead time)</w:t>
      </w:r>
      <w:r>
        <w:t xml:space="preserve"> para el ESP con años análogos seleccionados a partir de características hidrológicas. Se puede obser</w:t>
      </w:r>
      <w:r w:rsidR="0034194F">
        <w:t xml:space="preserve">var un resultado muy semejante a la selección de análogos por medio de características climatológicas, con un pequeño incremento en la capacidad predictiva, sin </w:t>
      </w:r>
      <w:r w:rsidR="00170DBC">
        <w:t>embargo,</w:t>
      </w:r>
      <w:r w:rsidR="0034194F">
        <w:t xml:space="preserve"> sigue siendo considerablemente inferior a los resultados con ESP clásico.</w:t>
      </w:r>
    </w:p>
    <w:p w14:paraId="2AE2F090" w14:textId="77777777" w:rsidR="009A62D9" w:rsidRDefault="009A62D9" w:rsidP="009A62D9"/>
    <w:p w14:paraId="510CAB8C" w14:textId="4F73DC9A" w:rsidR="009A62D9" w:rsidRDefault="009A62D9" w:rsidP="009A62D9">
      <w:pPr>
        <w:pStyle w:val="Ttulo4"/>
      </w:pPr>
      <w:r>
        <w:rPr>
          <w:noProof/>
        </w:rPr>
        <w:lastRenderedPageBreak/>
        <w:drawing>
          <wp:anchor distT="0" distB="0" distL="114300" distR="114300" simplePos="0" relativeHeight="251661312" behindDoc="0" locked="0" layoutInCell="1" allowOverlap="1" wp14:anchorId="3842CC84" wp14:editId="74502F2D">
            <wp:simplePos x="0" y="0"/>
            <wp:positionH relativeFrom="margin">
              <wp:align>right</wp:align>
            </wp:positionH>
            <wp:positionV relativeFrom="paragraph">
              <wp:posOffset>19130</wp:posOffset>
            </wp:positionV>
            <wp:extent cx="3959690" cy="2474806"/>
            <wp:effectExtent l="19050" t="19050" r="22225" b="2095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9690" cy="2474806"/>
                    </a:xfrm>
                    <a:prstGeom prst="rect">
                      <a:avLst/>
                    </a:prstGeom>
                    <a:ln w="12700">
                      <a:solidFill>
                        <a:schemeClr val="tx1"/>
                      </a:solidFill>
                    </a:ln>
                  </pic:spPr>
                </pic:pic>
              </a:graphicData>
            </a:graphic>
          </wp:anchor>
        </w:drawing>
      </w:r>
      <w:proofErr w:type="spellStart"/>
      <w:r>
        <w:t>Brier</w:t>
      </w:r>
      <w:proofErr w:type="spellEnd"/>
      <w:r>
        <w:t xml:space="preserve"> Score</w:t>
      </w:r>
    </w:p>
    <w:p w14:paraId="0C37BE72" w14:textId="7481D7F0" w:rsidR="0034194F" w:rsidRDefault="009A62D9" w:rsidP="000055B3">
      <w:pPr>
        <w:rPr>
          <w:rStyle w:val="Ttulo4Car"/>
          <w:rFonts w:asciiTheme="minorHAnsi" w:eastAsiaTheme="minorHAnsi" w:hAnsiTheme="minorHAnsi" w:cstheme="minorBidi"/>
          <w:i w:val="0"/>
          <w:iCs w:val="0"/>
          <w:color w:val="auto"/>
        </w:rPr>
      </w:pPr>
      <w:r>
        <w:t xml:space="preserve">El </w:t>
      </w:r>
      <w:proofErr w:type="spellStart"/>
      <w:r>
        <w:t>Brier</w:t>
      </w:r>
      <w:proofErr w:type="spellEnd"/>
      <w:r>
        <w:t xml:space="preserve"> Score aplicado a los resultados del ESP con años análogos hidrológicos (figura 8) también presentó desempeño inferior al ESP clásico para predecir eventos de todas las categorías </w:t>
      </w:r>
      <w:proofErr w:type="spellStart"/>
      <w:r>
        <w:t>HyroSOS</w:t>
      </w:r>
      <w:proofErr w:type="spellEnd"/>
      <w:r>
        <w:t>. Los valores estuvieron cercanos a los obtenidos con el ESP de años análogos climatológicos.</w:t>
      </w:r>
    </w:p>
    <w:p w14:paraId="3445FCBD" w14:textId="77777777" w:rsidR="009A62D9" w:rsidRPr="009A62D9" w:rsidRDefault="009A62D9" w:rsidP="000055B3">
      <w:pPr>
        <w:rPr>
          <w:rStyle w:val="Ttulo4Car"/>
          <w:rFonts w:asciiTheme="minorHAnsi" w:eastAsiaTheme="minorHAnsi" w:hAnsiTheme="minorHAnsi" w:cstheme="minorBidi"/>
          <w:i w:val="0"/>
          <w:iCs w:val="0"/>
          <w:color w:val="auto"/>
        </w:rPr>
      </w:pPr>
    </w:p>
    <w:p w14:paraId="5947B782" w14:textId="77777777" w:rsidR="000055B3" w:rsidRPr="00D255E1" w:rsidRDefault="000055B3" w:rsidP="000055B3">
      <w:r>
        <w:rPr>
          <w:noProof/>
        </w:rPr>
        <w:drawing>
          <wp:inline distT="0" distB="0" distL="0" distR="0" wp14:anchorId="7BC3CB67" wp14:editId="363EC858">
            <wp:extent cx="5399617" cy="4800686"/>
            <wp:effectExtent l="19050" t="19050" r="10795"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15839" cy="4815108"/>
                    </a:xfrm>
                    <a:prstGeom prst="rect">
                      <a:avLst/>
                    </a:prstGeom>
                    <a:noFill/>
                    <a:ln w="12700">
                      <a:solidFill>
                        <a:schemeClr val="tx1"/>
                      </a:solidFill>
                    </a:ln>
                  </pic:spPr>
                </pic:pic>
              </a:graphicData>
            </a:graphic>
          </wp:inline>
        </w:drawing>
      </w:r>
    </w:p>
    <w:p w14:paraId="2F57DC81" w14:textId="77777777" w:rsidR="000055B3" w:rsidRDefault="000055B3" w:rsidP="000055B3"/>
    <w:p w14:paraId="7A0F8230" w14:textId="77777777" w:rsidR="009A62D9" w:rsidRDefault="009A62D9" w:rsidP="001E7294">
      <w:pPr>
        <w:pStyle w:val="Ttulo2"/>
      </w:pPr>
    </w:p>
    <w:p w14:paraId="244ECF33" w14:textId="2198B2C9" w:rsidR="002446E0" w:rsidRDefault="001E7294" w:rsidP="001E7294">
      <w:pPr>
        <w:pStyle w:val="Ttulo2"/>
      </w:pPr>
      <w:r>
        <w:t>Discusión</w:t>
      </w:r>
    </w:p>
    <w:p w14:paraId="301F9395" w14:textId="466D8289" w:rsidR="001E7294" w:rsidRDefault="001E7294" w:rsidP="001E7294"/>
    <w:p w14:paraId="72359F94" w14:textId="6D4F97E2" w:rsidR="001E7294" w:rsidRDefault="001E7294" w:rsidP="001E7294">
      <w:pPr>
        <w:pStyle w:val="Ttulo3"/>
      </w:pPr>
      <w:r>
        <w:t>Métricas ESP clásico</w:t>
      </w:r>
    </w:p>
    <w:p w14:paraId="2182B76F" w14:textId="77777777" w:rsidR="001E7294" w:rsidRPr="001E7294" w:rsidRDefault="001E7294" w:rsidP="001E7294"/>
    <w:p w14:paraId="12F2658A" w14:textId="77777777" w:rsidR="00D255E1" w:rsidRDefault="00D255E1" w:rsidP="00D255E1"/>
    <w:p w14:paraId="37E78025" w14:textId="77777777" w:rsidR="00D255E1" w:rsidRDefault="00D255E1" w:rsidP="00373012"/>
    <w:p w14:paraId="016B89DE" w14:textId="77777777" w:rsidR="00425F48" w:rsidRDefault="00425F48" w:rsidP="00373012"/>
    <w:p w14:paraId="0B54205D" w14:textId="58A0A10B" w:rsidR="00B47419" w:rsidRDefault="00B47419">
      <w:r>
        <w:br w:type="page"/>
      </w:r>
    </w:p>
    <w:p w14:paraId="254F0561" w14:textId="1DA2DF0D" w:rsidR="00B47419" w:rsidRDefault="00B47419" w:rsidP="00B47419">
      <w:pPr>
        <w:pStyle w:val="Ttulo3"/>
      </w:pPr>
      <w:r>
        <w:lastRenderedPageBreak/>
        <w:t>Análogos</w:t>
      </w:r>
    </w:p>
    <w:p w14:paraId="0C53B5F1" w14:textId="02778538" w:rsidR="00B47419" w:rsidRDefault="00B47419" w:rsidP="00B47419"/>
    <w:p w14:paraId="3E3E5E54" w14:textId="1E54C6B6" w:rsidR="00B47419" w:rsidRDefault="00B47419" w:rsidP="00B47419">
      <w:r>
        <w:t>Hasta el momento la implementación de años análogos no mejoró las métricas del esp.</w:t>
      </w:r>
    </w:p>
    <w:p w14:paraId="3557F3BB" w14:textId="660B0CC5" w:rsidR="00B47419" w:rsidRDefault="00B47419" w:rsidP="00B47419">
      <w:r>
        <w:t>Las métricas determinísticas parecen ser las que empeoran en mayor magnitud.</w:t>
      </w:r>
    </w:p>
    <w:p w14:paraId="50F5DB2D" w14:textId="0BBAFA76" w:rsidR="00B47419" w:rsidRDefault="00B47419" w:rsidP="00B47419">
      <w:r>
        <w:t>Se probó buscar los dos ensambles con el clima más semejante al observado en los últimos meses y no se obtuvo un buen resultado.</w:t>
      </w:r>
    </w:p>
    <w:p w14:paraId="1F272822" w14:textId="17F667D4" w:rsidR="00B47419" w:rsidRDefault="00B47419" w:rsidP="00B47419">
      <w:r>
        <w:t>Se probó buscar 8 ensambles análogos y se obtuvo un mejor resultado, sin embargo, inferior a utilizar todos los meses disponibles.</w:t>
      </w:r>
    </w:p>
    <w:p w14:paraId="5556463D" w14:textId="1FBFF04B" w:rsidR="00B47419" w:rsidRDefault="00B47419" w:rsidP="00B47419">
      <w:r>
        <w:t xml:space="preserve">Se puede probar aumentar la cantidad de meses análogos y también probar alterar la métrica de analogía para anomalías de caudal. El chat había propuesto otra manera de buscar años análogos que no el RMSE, se puede probar por </w:t>
      </w:r>
      <w:proofErr w:type="spellStart"/>
      <w:r>
        <w:t>aí</w:t>
      </w:r>
      <w:proofErr w:type="spellEnd"/>
      <w:r>
        <w:t xml:space="preserve"> también.</w:t>
      </w:r>
    </w:p>
    <w:p w14:paraId="217242D1" w14:textId="766AE553" w:rsidR="00E2163F" w:rsidRPr="00B85F53" w:rsidRDefault="00156D29" w:rsidP="00156D29">
      <w:pPr>
        <w:pStyle w:val="Ttulo2"/>
        <w:rPr>
          <w:lang w:val="en-US"/>
        </w:rPr>
      </w:pPr>
      <w:proofErr w:type="spellStart"/>
      <w:r w:rsidRPr="00B85F53">
        <w:rPr>
          <w:lang w:val="en-US"/>
        </w:rPr>
        <w:t>Referencias</w:t>
      </w:r>
      <w:proofErr w:type="spellEnd"/>
    </w:p>
    <w:p w14:paraId="65423268" w14:textId="77777777" w:rsidR="00156D29" w:rsidRDefault="00156D29" w:rsidP="00156D29">
      <w:pPr>
        <w:rPr>
          <w:lang w:val="en-US"/>
        </w:rPr>
      </w:pPr>
    </w:p>
    <w:p w14:paraId="7DECA985" w14:textId="52EC7AD4" w:rsidR="00156D29" w:rsidRDefault="00156D29" w:rsidP="00156D29">
      <w:pPr>
        <w:rPr>
          <w:lang w:val="en-US"/>
        </w:rPr>
      </w:pPr>
      <w:r w:rsidRPr="00156D29">
        <w:rPr>
          <w:lang w:val="en-US"/>
        </w:rPr>
        <w:t>Conditioning ensemble streamflow prediction with the North Atlantic Oscillation improves skill at longer lead times</w:t>
      </w:r>
      <w:r>
        <w:rPr>
          <w:lang w:val="en-US"/>
        </w:rPr>
        <w:t xml:space="preserve"> - </w:t>
      </w:r>
      <w:hyperlink r:id="rId13" w:history="1">
        <w:r w:rsidRPr="00501E46">
          <w:rPr>
            <w:rStyle w:val="Hipervnculo"/>
            <w:lang w:val="en-US"/>
          </w:rPr>
          <w:t>https://hess.copernicus.org/articles/25/4159/2021/</w:t>
        </w:r>
      </w:hyperlink>
    </w:p>
    <w:p w14:paraId="244B9292" w14:textId="34BEA9B5" w:rsidR="00156D29" w:rsidRDefault="00156D29" w:rsidP="00156D29">
      <w:pPr>
        <w:rPr>
          <w:lang w:val="en-US"/>
        </w:rPr>
      </w:pPr>
    </w:p>
    <w:p w14:paraId="11816723" w14:textId="77777777" w:rsidR="00156D29" w:rsidRPr="00156D29" w:rsidRDefault="00156D29" w:rsidP="00156D29">
      <w:pPr>
        <w:rPr>
          <w:lang w:val="en-US"/>
        </w:rPr>
      </w:pPr>
    </w:p>
    <w:sectPr w:rsidR="00156D29" w:rsidRPr="00156D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2130F"/>
    <w:multiLevelType w:val="hybridMultilevel"/>
    <w:tmpl w:val="443C17EC"/>
    <w:lvl w:ilvl="0" w:tplc="D8002B02">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2EDB4ED6"/>
    <w:multiLevelType w:val="hybridMultilevel"/>
    <w:tmpl w:val="D8EE9F64"/>
    <w:lvl w:ilvl="0" w:tplc="C9AC4058">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A8C"/>
    <w:rsid w:val="000055B3"/>
    <w:rsid w:val="0002511B"/>
    <w:rsid w:val="000464A0"/>
    <w:rsid w:val="000A0304"/>
    <w:rsid w:val="00106300"/>
    <w:rsid w:val="00116A8C"/>
    <w:rsid w:val="00144FAD"/>
    <w:rsid w:val="00156D29"/>
    <w:rsid w:val="00170DBC"/>
    <w:rsid w:val="001842F2"/>
    <w:rsid w:val="001D67A6"/>
    <w:rsid w:val="001E7294"/>
    <w:rsid w:val="002446E0"/>
    <w:rsid w:val="00270EBF"/>
    <w:rsid w:val="002B3C8F"/>
    <w:rsid w:val="00322F5A"/>
    <w:rsid w:val="0034194F"/>
    <w:rsid w:val="00347BF0"/>
    <w:rsid w:val="0035306B"/>
    <w:rsid w:val="00373012"/>
    <w:rsid w:val="003A11C6"/>
    <w:rsid w:val="00425F48"/>
    <w:rsid w:val="0048062E"/>
    <w:rsid w:val="004D34D9"/>
    <w:rsid w:val="004F3182"/>
    <w:rsid w:val="0059063A"/>
    <w:rsid w:val="00597997"/>
    <w:rsid w:val="00613D5A"/>
    <w:rsid w:val="006C545D"/>
    <w:rsid w:val="0075512C"/>
    <w:rsid w:val="00766A1E"/>
    <w:rsid w:val="007C7444"/>
    <w:rsid w:val="00825745"/>
    <w:rsid w:val="00875FE1"/>
    <w:rsid w:val="008955F9"/>
    <w:rsid w:val="008C2697"/>
    <w:rsid w:val="008D5E49"/>
    <w:rsid w:val="00925EE8"/>
    <w:rsid w:val="00941CDE"/>
    <w:rsid w:val="009766A0"/>
    <w:rsid w:val="009A62D9"/>
    <w:rsid w:val="009B0B56"/>
    <w:rsid w:val="009F2823"/>
    <w:rsid w:val="00A2139B"/>
    <w:rsid w:val="00AB042F"/>
    <w:rsid w:val="00AC429C"/>
    <w:rsid w:val="00B051D9"/>
    <w:rsid w:val="00B22E77"/>
    <w:rsid w:val="00B4736B"/>
    <w:rsid w:val="00B47419"/>
    <w:rsid w:val="00B80417"/>
    <w:rsid w:val="00B85F53"/>
    <w:rsid w:val="00BC0A44"/>
    <w:rsid w:val="00BF4734"/>
    <w:rsid w:val="00C36A79"/>
    <w:rsid w:val="00C437E0"/>
    <w:rsid w:val="00C60BDF"/>
    <w:rsid w:val="00C67BAD"/>
    <w:rsid w:val="00CB3DDE"/>
    <w:rsid w:val="00CC6B42"/>
    <w:rsid w:val="00CD18BF"/>
    <w:rsid w:val="00CF77E4"/>
    <w:rsid w:val="00D04A84"/>
    <w:rsid w:val="00D12796"/>
    <w:rsid w:val="00D255E1"/>
    <w:rsid w:val="00DD302B"/>
    <w:rsid w:val="00DD4AA1"/>
    <w:rsid w:val="00E0272A"/>
    <w:rsid w:val="00E14D82"/>
    <w:rsid w:val="00E2163F"/>
    <w:rsid w:val="00E52C02"/>
    <w:rsid w:val="00E65604"/>
    <w:rsid w:val="00F735F8"/>
    <w:rsid w:val="00FA4BA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4F26"/>
  <w15:chartTrackingRefBased/>
  <w15:docId w15:val="{8F811D6C-6677-4EBA-8F23-5ED93152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2D9"/>
    <w:pPr>
      <w:jc w:val="both"/>
    </w:pPr>
  </w:style>
  <w:style w:type="paragraph" w:styleId="Ttulo1">
    <w:name w:val="heading 1"/>
    <w:basedOn w:val="Normal"/>
    <w:next w:val="Normal"/>
    <w:link w:val="Ttulo1Car"/>
    <w:uiPriority w:val="9"/>
    <w:qFormat/>
    <w:rsid w:val="00E02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027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22F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730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72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0272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825745"/>
    <w:pPr>
      <w:ind w:left="720"/>
      <w:contextualSpacing/>
    </w:pPr>
  </w:style>
  <w:style w:type="character" w:customStyle="1" w:styleId="Ttulo3Car">
    <w:name w:val="Título 3 Car"/>
    <w:basedOn w:val="Fuentedeprrafopredeter"/>
    <w:link w:val="Ttulo3"/>
    <w:uiPriority w:val="9"/>
    <w:rsid w:val="00322F5A"/>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373012"/>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270EBF"/>
    <w:rPr>
      <w:color w:val="808080"/>
    </w:rPr>
  </w:style>
  <w:style w:type="character" w:customStyle="1" w:styleId="mord">
    <w:name w:val="mord"/>
    <w:basedOn w:val="Fuentedeprrafopredeter"/>
    <w:rsid w:val="00E65604"/>
  </w:style>
  <w:style w:type="character" w:customStyle="1" w:styleId="mrel">
    <w:name w:val="mrel"/>
    <w:basedOn w:val="Fuentedeprrafopredeter"/>
    <w:rsid w:val="00E65604"/>
  </w:style>
  <w:style w:type="character" w:styleId="Hipervnculo">
    <w:name w:val="Hyperlink"/>
    <w:basedOn w:val="Fuentedeprrafopredeter"/>
    <w:uiPriority w:val="99"/>
    <w:unhideWhenUsed/>
    <w:rsid w:val="00156D29"/>
    <w:rPr>
      <w:color w:val="0563C1" w:themeColor="hyperlink"/>
      <w:u w:val="single"/>
    </w:rPr>
  </w:style>
  <w:style w:type="character" w:styleId="Mencinsinresolver">
    <w:name w:val="Unresolved Mention"/>
    <w:basedOn w:val="Fuentedeprrafopredeter"/>
    <w:uiPriority w:val="99"/>
    <w:semiHidden/>
    <w:unhideWhenUsed/>
    <w:rsid w:val="0015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16572">
      <w:bodyDiv w:val="1"/>
      <w:marLeft w:val="0"/>
      <w:marRight w:val="0"/>
      <w:marTop w:val="0"/>
      <w:marBottom w:val="0"/>
      <w:divBdr>
        <w:top w:val="none" w:sz="0" w:space="0" w:color="auto"/>
        <w:left w:val="none" w:sz="0" w:space="0" w:color="auto"/>
        <w:bottom w:val="none" w:sz="0" w:space="0" w:color="auto"/>
        <w:right w:val="none" w:sz="0" w:space="0" w:color="auto"/>
      </w:divBdr>
    </w:div>
    <w:div w:id="600650858">
      <w:bodyDiv w:val="1"/>
      <w:marLeft w:val="0"/>
      <w:marRight w:val="0"/>
      <w:marTop w:val="0"/>
      <w:marBottom w:val="0"/>
      <w:divBdr>
        <w:top w:val="none" w:sz="0" w:space="0" w:color="auto"/>
        <w:left w:val="none" w:sz="0" w:space="0" w:color="auto"/>
        <w:bottom w:val="none" w:sz="0" w:space="0" w:color="auto"/>
        <w:right w:val="none" w:sz="0" w:space="0" w:color="auto"/>
      </w:divBdr>
    </w:div>
    <w:div w:id="623971929">
      <w:bodyDiv w:val="1"/>
      <w:marLeft w:val="0"/>
      <w:marRight w:val="0"/>
      <w:marTop w:val="0"/>
      <w:marBottom w:val="0"/>
      <w:divBdr>
        <w:top w:val="none" w:sz="0" w:space="0" w:color="auto"/>
        <w:left w:val="none" w:sz="0" w:space="0" w:color="auto"/>
        <w:bottom w:val="none" w:sz="0" w:space="0" w:color="auto"/>
        <w:right w:val="none" w:sz="0" w:space="0" w:color="auto"/>
      </w:divBdr>
    </w:div>
    <w:div w:id="1255702015">
      <w:bodyDiv w:val="1"/>
      <w:marLeft w:val="0"/>
      <w:marRight w:val="0"/>
      <w:marTop w:val="0"/>
      <w:marBottom w:val="0"/>
      <w:divBdr>
        <w:top w:val="none" w:sz="0" w:space="0" w:color="auto"/>
        <w:left w:val="none" w:sz="0" w:space="0" w:color="auto"/>
        <w:bottom w:val="none" w:sz="0" w:space="0" w:color="auto"/>
        <w:right w:val="none" w:sz="0" w:space="0" w:color="auto"/>
      </w:divBdr>
    </w:div>
    <w:div w:id="1274359323">
      <w:bodyDiv w:val="1"/>
      <w:marLeft w:val="0"/>
      <w:marRight w:val="0"/>
      <w:marTop w:val="0"/>
      <w:marBottom w:val="0"/>
      <w:divBdr>
        <w:top w:val="none" w:sz="0" w:space="0" w:color="auto"/>
        <w:left w:val="none" w:sz="0" w:space="0" w:color="auto"/>
        <w:bottom w:val="none" w:sz="0" w:space="0" w:color="auto"/>
        <w:right w:val="none" w:sz="0" w:space="0" w:color="auto"/>
      </w:divBdr>
    </w:div>
    <w:div w:id="1321345468">
      <w:bodyDiv w:val="1"/>
      <w:marLeft w:val="0"/>
      <w:marRight w:val="0"/>
      <w:marTop w:val="0"/>
      <w:marBottom w:val="0"/>
      <w:divBdr>
        <w:top w:val="none" w:sz="0" w:space="0" w:color="auto"/>
        <w:left w:val="none" w:sz="0" w:space="0" w:color="auto"/>
        <w:bottom w:val="none" w:sz="0" w:space="0" w:color="auto"/>
        <w:right w:val="none" w:sz="0" w:space="0" w:color="auto"/>
      </w:divBdr>
    </w:div>
    <w:div w:id="1398555925">
      <w:bodyDiv w:val="1"/>
      <w:marLeft w:val="0"/>
      <w:marRight w:val="0"/>
      <w:marTop w:val="0"/>
      <w:marBottom w:val="0"/>
      <w:divBdr>
        <w:top w:val="none" w:sz="0" w:space="0" w:color="auto"/>
        <w:left w:val="none" w:sz="0" w:space="0" w:color="auto"/>
        <w:bottom w:val="none" w:sz="0" w:space="0" w:color="auto"/>
        <w:right w:val="none" w:sz="0" w:space="0" w:color="auto"/>
      </w:divBdr>
    </w:div>
    <w:div w:id="1467775955">
      <w:bodyDiv w:val="1"/>
      <w:marLeft w:val="0"/>
      <w:marRight w:val="0"/>
      <w:marTop w:val="0"/>
      <w:marBottom w:val="0"/>
      <w:divBdr>
        <w:top w:val="none" w:sz="0" w:space="0" w:color="auto"/>
        <w:left w:val="none" w:sz="0" w:space="0" w:color="auto"/>
        <w:bottom w:val="none" w:sz="0" w:space="0" w:color="auto"/>
        <w:right w:val="none" w:sz="0" w:space="0" w:color="auto"/>
      </w:divBdr>
    </w:div>
    <w:div w:id="1489785031">
      <w:bodyDiv w:val="1"/>
      <w:marLeft w:val="0"/>
      <w:marRight w:val="0"/>
      <w:marTop w:val="0"/>
      <w:marBottom w:val="0"/>
      <w:divBdr>
        <w:top w:val="none" w:sz="0" w:space="0" w:color="auto"/>
        <w:left w:val="none" w:sz="0" w:space="0" w:color="auto"/>
        <w:bottom w:val="none" w:sz="0" w:space="0" w:color="auto"/>
        <w:right w:val="none" w:sz="0" w:space="0" w:color="auto"/>
      </w:divBdr>
    </w:div>
    <w:div w:id="1597637500">
      <w:bodyDiv w:val="1"/>
      <w:marLeft w:val="0"/>
      <w:marRight w:val="0"/>
      <w:marTop w:val="0"/>
      <w:marBottom w:val="0"/>
      <w:divBdr>
        <w:top w:val="none" w:sz="0" w:space="0" w:color="auto"/>
        <w:left w:val="none" w:sz="0" w:space="0" w:color="auto"/>
        <w:bottom w:val="none" w:sz="0" w:space="0" w:color="auto"/>
        <w:right w:val="none" w:sz="0" w:space="0" w:color="auto"/>
      </w:divBdr>
    </w:div>
    <w:div w:id="1742672285">
      <w:bodyDiv w:val="1"/>
      <w:marLeft w:val="0"/>
      <w:marRight w:val="0"/>
      <w:marTop w:val="0"/>
      <w:marBottom w:val="0"/>
      <w:divBdr>
        <w:top w:val="none" w:sz="0" w:space="0" w:color="auto"/>
        <w:left w:val="none" w:sz="0" w:space="0" w:color="auto"/>
        <w:bottom w:val="none" w:sz="0" w:space="0" w:color="auto"/>
        <w:right w:val="none" w:sz="0" w:space="0" w:color="auto"/>
      </w:divBdr>
    </w:div>
    <w:div w:id="1825851640">
      <w:bodyDiv w:val="1"/>
      <w:marLeft w:val="0"/>
      <w:marRight w:val="0"/>
      <w:marTop w:val="0"/>
      <w:marBottom w:val="0"/>
      <w:divBdr>
        <w:top w:val="none" w:sz="0" w:space="0" w:color="auto"/>
        <w:left w:val="none" w:sz="0" w:space="0" w:color="auto"/>
        <w:bottom w:val="none" w:sz="0" w:space="0" w:color="auto"/>
        <w:right w:val="none" w:sz="0" w:space="0" w:color="auto"/>
      </w:divBdr>
    </w:div>
    <w:div w:id="2029210965">
      <w:bodyDiv w:val="1"/>
      <w:marLeft w:val="0"/>
      <w:marRight w:val="0"/>
      <w:marTop w:val="0"/>
      <w:marBottom w:val="0"/>
      <w:divBdr>
        <w:top w:val="none" w:sz="0" w:space="0" w:color="auto"/>
        <w:left w:val="none" w:sz="0" w:space="0" w:color="auto"/>
        <w:bottom w:val="none" w:sz="0" w:space="0" w:color="auto"/>
        <w:right w:val="none" w:sz="0" w:space="0" w:color="auto"/>
      </w:divBdr>
    </w:div>
    <w:div w:id="210646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ess.copernicus.org/articles/25/4159/202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1296</TotalTime>
  <Pages>12</Pages>
  <Words>2594</Words>
  <Characters>14273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Ministerio de Ambiente</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P</dc:creator>
  <cp:keywords/>
  <dc:description/>
  <cp:lastModifiedBy>Tiago P</cp:lastModifiedBy>
  <cp:revision>10</cp:revision>
  <dcterms:created xsi:type="dcterms:W3CDTF">2026-01-16T14:58:00Z</dcterms:created>
  <dcterms:modified xsi:type="dcterms:W3CDTF">2026-03-26T21:41:00Z</dcterms:modified>
</cp:coreProperties>
</file>