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i/>
          <w:color w:val="646464"/>
          <w:sz w:val="20"/>
        </w:rPr>
        <w:t>Working Paper · Companion Paper a "Escasez y Resiliencia" (2026)</w:t>
      </w:r>
    </w:p>
    <w:p>
      <w:pPr>
        <w:spacing w:before="320" w:after="160"/>
        <w:jc w:val="center"/>
      </w:pPr>
      <w:r>
        <w:rPr>
          <w:rFonts w:ascii="Times New Roman" w:hAnsi="Times New Roman"/>
          <w:b/>
          <w:sz w:val="40"/>
        </w:rPr>
        <w:t>Autofabricación y Olas Tecnológicas:</w:t>
      </w:r>
    </w:p>
    <w:p>
      <w:pPr>
        <w:spacing w:after="80"/>
        <w:jc w:val="center"/>
      </w:pPr>
      <w:r>
        <w:rPr>
          <w:rFonts w:ascii="Times New Roman" w:hAnsi="Times New Roman"/>
          <w:b/>
          <w:sz w:val="32"/>
        </w:rPr>
        <w:t>El Modelo de Logística Anidada para la Era de los Robots</w:t>
      </w:r>
    </w:p>
    <w:p>
      <w:pPr>
        <w:spacing w:after="480"/>
        <w:jc w:val="center"/>
      </w:pPr>
      <w:r>
        <w:rPr>
          <w:rFonts w:ascii="Times New Roman" w:hAnsi="Times New Roman"/>
          <w:b/>
          <w:sz w:val="32"/>
        </w:rPr>
        <w:t>que se Autorreplican</w:t>
      </w:r>
    </w:p>
    <w:p>
      <w:pPr>
        <w:spacing w:after="160"/>
        <w:jc w:val="center"/>
      </w:pPr>
      <w:r>
        <w:rPr>
          <w:rFonts w:ascii="Times New Roman" w:hAnsi="Times New Roman"/>
          <w:i/>
          <w:sz w:val="24"/>
        </w:rPr>
        <w:t>Self-Fabrication and Technological Waves:</w:t>
        <w:br/>
        <w:t>The Nested Logistic Model for the Age of Self-Replicating Robots</w:t>
      </w:r>
    </w:p>
    <w:p>
      <w:pPr>
        <w:spacing w:before="80" w:after="80"/>
        <w:jc w:val="center"/>
      </w:pPr>
      <w:r>
        <w:rPr>
          <w:color w:val="B4B4B4"/>
          <w:sz w:val="16"/>
        </w:rPr>
        <w:t>────────────────────────────────────────────────────────────────────────</w:t>
      </w:r>
    </w:p>
    <w:p>
      <w:pPr>
        <w:spacing w:before="400" w:after="120"/>
        <w:jc w:val="center"/>
      </w:pPr>
      <w:r>
        <w:rPr>
          <w:rFonts w:ascii="Times New Roman" w:hAnsi="Times New Roman"/>
          <w:b/>
          <w:sz w:val="26"/>
        </w:rPr>
        <w:t>Jose Antonio Vilar</w:t>
      </w:r>
    </w:p>
    <w:p>
      <w:pPr>
        <w:spacing w:after="80"/>
        <w:jc w:val="center"/>
      </w:pPr>
      <w:r>
        <w:rPr>
          <w:rFonts w:ascii="Times New Roman" w:hAnsi="Times New Roman"/>
          <w:sz w:val="22"/>
        </w:rPr>
        <w:t>Profesional de la Tecnología de la Información · Estudiante de Grado en Ciencia de Datos, UOC</w:t>
      </w:r>
    </w:p>
    <w:p>
      <w:pPr>
        <w:spacing w:after="80"/>
        <w:jc w:val="center"/>
      </w:pPr>
      <w:r>
        <w:rPr>
          <w:rFonts w:ascii="Times New Roman" w:hAnsi="Times New Roman"/>
          <w:i/>
          <w:sz w:val="20"/>
        </w:rPr>
        <w:t>javsprivate@gmail.com · joseantoniovilar@uoc.edu</w:t>
      </w:r>
    </w:p>
    <w:p>
      <w:pPr>
        <w:spacing w:after="480"/>
        <w:jc w:val="center"/>
      </w:pPr>
      <w:r>
        <w:rPr>
          <w:rFonts w:ascii="Times New Roman" w:hAnsi="Times New Roman"/>
          <w:sz w:val="22"/>
        </w:rPr>
        <w:t>Marzo 2026</w:t>
      </w:r>
    </w:p>
    <w:p>
      <w:pPr>
        <w:spacing w:before="80" w:after="80"/>
        <w:jc w:val="center"/>
      </w:pPr>
      <w:r>
        <w:rPr>
          <w:color w:val="B4B4B4"/>
          <w:sz w:val="16"/>
        </w:rPr>
        <w:t>────────────────────────────────────────────────────────────────────────</w:t>
      </w:r>
    </w:p>
    <w:p>
      <w:pPr>
        <w:spacing w:before="320" w:after="80"/>
        <w:jc w:val="center"/>
      </w:pPr>
      <w:r>
        <w:rPr>
          <w:rFonts w:ascii="Times New Roman" w:hAnsi="Times New Roman"/>
          <w:i/>
          <w:sz w:val="20"/>
        </w:rPr>
        <w:t>Clasificación JEL: G11 · O33 · O14 · L16 · Q02</w:t>
      </w:r>
    </w:p>
    <w:p>
      <w:pPr>
        <w:spacing w:after="80"/>
        <w:jc w:val="center"/>
      </w:pPr>
      <w:r>
        <w:rPr>
          <w:rFonts w:ascii="Times New Roman" w:hAnsi="Times New Roman"/>
          <w:i/>
          <w:sz w:val="20"/>
        </w:rPr>
        <w:t>Palabras clave: logística anidada, autofabricación robótica, olas tecnológicas, prima de escasez, cambio de paradigma, construcción de cartera, difusión tecnológica</w:t>
      </w:r>
    </w:p>
    <w:p>
      <w:r>
        <w:br w:type="page"/>
      </w:r>
    </w:p>
    <w:p>
      <w:pPr>
        <w:pStyle w:val="Heading1"/>
      </w:pPr>
      <w:r>
        <w:t>Abstract</w:t>
      </w:r>
    </w:p>
    <w:p>
      <w:pPr>
        <w:spacing w:before="0" w:after="160"/>
        <w:jc w:val="both"/>
      </w:pPr>
      <w:r>
        <w:rPr>
          <w:b w:val="0"/>
          <w:i w:val="0"/>
        </w:rPr>
        <w:t>The Scarcity and Resilience model, introduced in the companion paper (Vilar, 2026a), uses a single logistic curve Φ_L(t) to capture technological self-replication. That formulation is academically defensible and empirically calibratable for the 2024–2030 horizon. However, the historical record of technology diffusion suggests that major paradigm shifts do not follow a single S-curve: they arrive as successive, overlapping waves, each unlocking the next. This paper extends the framework by replacing Φ_L(t) with a nested logistic Φ_nested(t) = 1 + Σᵢ Kᵢ / (1 + e^(−γᵢ(t − t₀ᵢ))), calibrated on four identifiable technological waves for the period 2026–2038: mass LLM adoption (underway), robotics with self-fabrication (2027), autonomous agents (2029), and full-scale autofabrication (2031). The paper shows that the qualitative change introduced by the second wave — robots manufacturing robots, from 2027 — is not merely quantitative: it collapses marginal production costs and generates an absolute scarcity premium for assets with inelastic supply. Portfolio implications are derived analytically, demonstrating that the Scarcity and Resilience portfolio is structurally positioned at the physical bottlenecks that no replication process can eliminate: copper, uranium, Bitcoin, and smart-grid infrastructure.</w:t>
      </w:r>
    </w:p>
    <w:p>
      <w:pPr>
        <w:pStyle w:val="Heading1"/>
      </w:pPr>
      <w:r>
        <w:t>Resumen</w:t>
      </w:r>
    </w:p>
    <w:p>
      <w:pPr>
        <w:spacing w:before="0" w:after="160"/>
        <w:jc w:val="both"/>
      </w:pPr>
      <w:r>
        <w:rPr>
          <w:b w:val="0"/>
          <w:i w:val="0"/>
        </w:rPr>
        <w:t>El modelo Escasez y Resiliencia, introducido en el paper fundacional de la serie (Vilar, 2026a), utiliza una curva logística simple Φ_L(t) para capturar la autorreplicación tecnológica. Esa formulación es académicamente sólida y calibrable empíricamente para el horizonte 2024–2030. Sin embargo, el registro histórico de la difusión tecnológica sugiere que los grandes cambios de paradigma no siguen una única curva en S: llegan como olas sucesivas y superpuestas, cada una desbloqueando la siguiente. Este paper extiende el marco sustituyendo Φ_L(t) por una logística anidada Φ_nested(t) = 1 + Σᵢ Kᵢ / (1 + e^(−γᵢ(t − t₀ᵢ))), calibrada sobre cuatro olas tecnológicas identificables para el período 2026–2038: adopción masiva de LLM (en marcha), robótica con autofabricación (2027), agentes autónomos y autofabricación robótica. Se demuestra que el cambio cualitativo introducido por la cuarta ola —robots que fabrican robots— no es meramente cuantitativo: colapsa los costes marginales de producción y genera una prima de escasez absoluta para los activos con oferta inelástica. Se derivan las implicaciones para el portfolio analíticamente y se demuestra que la cartera Escasez y Resiliencia está posicionada estructuralmente en los cuellos de botella físicos que ningún proceso de replicación puede eliminar: cobre, uranio, Bitcoin e infraestructura de red eléctrica inteligente.</w:t>
      </w:r>
    </w:p>
    <w:p>
      <w:r>
        <w:br w:type="page"/>
      </w:r>
    </w:p>
    <w:p>
      <w:pPr>
        <w:pStyle w:val="Heading1"/>
      </w:pPr>
      <w:r>
        <w:t>1. Introducción</w:t>
      </w:r>
    </w:p>
    <w:p>
      <w:pPr>
        <w:pStyle w:val="Heading2"/>
      </w:pPr>
      <w:r>
        <w:t>1.1 El problema de la S-curve única</w:t>
      </w:r>
    </w:p>
    <w:p>
      <w:pPr>
        <w:spacing w:before="0" w:after="120"/>
        <w:jc w:val="both"/>
      </w:pPr>
      <w:r>
        <w:rPr>
          <w:b w:val="0"/>
          <w:i w:val="0"/>
        </w:rPr>
        <w:t>El paper fundacional de esta serie —"Escasez y Resiliencia: Un Marco Matemático para Invertir en la Era de la Autorreplicación Artificial" (Vilar, 2026a)— introduce el modelo V(t) = Capital × (1+r)^t × Φ_L(t)/Φ_L(0), donde Φ_L(t) es una curva logística con techo K. Esa elección es correcta para modelar la difusión de una tecnología concreta en un horizonte de 5 a 8 años. Pero la historia de la industrialización y de la revolución digital nos muestra sistemáticamente que las grandes transformaciones llegan en oleadas discretas, no en una única S-curve: cada generación tecnológica desbloquea la siguiente.</w:t>
      </w:r>
    </w:p>
    <w:p>
      <w:pPr>
        <w:spacing w:before="0" w:after="120"/>
        <w:jc w:val="both"/>
      </w:pPr>
      <w:r>
        <w:rPr>
          <w:b w:val="0"/>
          <w:i w:val="0"/>
        </w:rPr>
        <w:t>La imprenta (1450) fue seguida por la prensa de vapor (1814), luego el telégrafo (1837), el teléfono (1876), la radio (1920), la televisión (1940) y finalmente internet (1991). Ninguna de estas olas fue la continuación suave de la anterior: cada una tenía sus propios parámetros K, γ y t₀, y la suma de sus efectos fue superexponencial a lo largo del siglo, aunque cada ola individual saturaba.</w:t>
      </w:r>
    </w:p>
    <w:p>
      <w:pPr>
        <w:spacing w:before="0" w:after="120"/>
        <w:jc w:val="both"/>
      </w:pPr>
      <w:r>
        <w:rPr>
          <w:b w:val="0"/>
          <w:i w:val="0"/>
        </w:rPr>
        <w:t>En el contexto de la inteligencia artificial y la robótica del período 2026–2038, identificamos cuatro olas discretas y diferenciadas. Este paper extiende el modelo logístico simple a un modelo de logísticas anidadas que captura esta estructura de olas, y estudia en detalle las implicaciones de la cuarta ola —la autofabricación robótica— que introduce una discontinuidad cualitativa: cuando el factor de producción se convierte en su propio replicador.</w:t>
      </w:r>
    </w:p>
    <w:p>
      <w:pPr>
        <w:pStyle w:val="Heading2"/>
      </w:pPr>
      <w:r>
        <w:t>1.2 La discontinuidad cualitativa: el robot que hace robots</w:t>
      </w:r>
    </w:p>
    <w:p>
      <w:pPr>
        <w:spacing w:before="0" w:after="120"/>
        <w:jc w:val="both"/>
      </w:pPr>
      <w:r>
        <w:rPr>
          <w:b w:val="0"/>
          <w:i w:val="0"/>
        </w:rPr>
        <w:t>En toda la historia económica, la productividad del trabajo ha crecido, pero el trabajo mismo siempre ha sido un factor de producción con oferta limitada por la demografía humana. La autofabricación robótica rompe esta restricción: por primera vez en la historia, el factor de producción físico puede crecer a una tasa proporcional a su propia existencia actual.</w:t>
      </w:r>
    </w:p>
    <w:p>
      <w:pPr>
        <w:spacing w:before="0" w:after="120"/>
        <w:jc w:val="both"/>
      </w:pPr>
      <w:r>
        <w:rPr>
          <w:b w:val="0"/>
          <w:i w:val="0"/>
        </w:rPr>
        <w:t>La ecuación dR/dt = α · η · R(t) + P_H, donde R es la capacidad robótica, η es la eficiencia de autorreplicación y P_H es la producción humana base, tiene solución superexponencial para cualquier η &gt; 0. El coste marginal de producción C(t) ∝ 1/R(t) tiende hacia cero. Esto no es ciencia ficción: ya existe autofabricación parcial en componentes de semiconductores (los robots en las fabs de TSMC son mantenidos y calibrados en parte por otros sistemas automatizados). La pregunta no es si ocurrirá, sino cuándo se cruzará el umbral donde η sea suficientemente alto para que el efecto sea dominante.</w:t>
      </w:r>
    </w:p>
    <w:p>
      <w:pPr>
        <w:spacing w:before="0" w:after="120"/>
        <w:jc w:val="both"/>
      </w:pPr>
      <w:r>
        <w:rPr>
          <w:b w:val="0"/>
          <w:i w:val="0"/>
        </w:rPr>
        <w:t>Este paper estudia las implicaciones de ese cruce para la construcción de portfolios de largo plazo.</w:t>
      </w:r>
    </w:p>
    <w:p>
      <w:r>
        <w:br w:type="page"/>
      </w:r>
    </w:p>
    <w:p>
      <w:pPr>
        <w:pStyle w:val="Heading1"/>
      </w:pPr>
      <w:r>
        <w:t>2. El Modelo de Logísticas Anidadas</w:t>
      </w:r>
    </w:p>
    <w:p>
      <w:pPr>
        <w:pStyle w:val="Heading2"/>
      </w:pPr>
      <w:r>
        <w:t>2.1 Formulación</w:t>
      </w:r>
    </w:p>
    <w:p>
      <w:pPr>
        <w:spacing w:before="0" w:after="120"/>
        <w:jc w:val="both"/>
      </w:pPr>
      <w:r>
        <w:rPr>
          <w:b w:val="0"/>
          <w:i w:val="0"/>
        </w:rPr>
        <w:t>El factor de autorreplicación anidado se define como la superposición de n curvas logísticas independientes, cada una representando una ola tecnológica discreta:</w:t>
      </w:r>
    </w:p>
    <w:p>
      <w:pPr>
        <w:spacing w:before="120" w:after="120"/>
        <w:jc w:val="center"/>
      </w:pPr>
      <w:r>
        <w:rPr>
          <w:rFonts w:ascii="Courier New" w:hAnsi="Courier New"/>
          <w:b/>
          <w:sz w:val="22"/>
        </w:rPr>
        <w:t>Φ_nested(t) = 1 + Σᵢ₌₁ⁿ  Kᵢ / (1 + e^(−γᵢ(t − t₀ᵢ)))</w:t>
      </w:r>
    </w:p>
    <w:p>
      <w:pPr>
        <w:spacing w:before="0" w:after="120"/>
        <w:jc w:val="both"/>
      </w:pPr>
      <w:r>
        <w:rPr>
          <w:b w:val="0"/>
          <w:i w:val="0"/>
        </w:rPr>
        <w:t>El modelo de valor normalizado del portfolio se convierte en:</w:t>
      </w:r>
    </w:p>
    <w:p>
      <w:pPr>
        <w:spacing w:before="120" w:after="120"/>
        <w:jc w:val="center"/>
      </w:pPr>
      <w:r>
        <w:rPr>
          <w:rFonts w:ascii="Courier New" w:hAnsi="Courier New"/>
          <w:b/>
          <w:sz w:val="22"/>
        </w:rPr>
        <w:t>V(t) = Capital × (1+r)^t × Φ_nested(t) / Φ_nested(0)</w:t>
      </w:r>
    </w:p>
    <w:p>
      <w:pPr>
        <w:spacing w:before="0" w:after="120"/>
        <w:jc w:val="both"/>
      </w:pPr>
      <w:r>
        <w:rPr>
          <w:b w:val="0"/>
          <w:i w:val="0"/>
        </w:rPr>
        <w:t>La normalización por Φ_nested(0) preserva la propiedad V(0) = Capital independientemente de los parámetros de cada ola, garantizando comparabilidad de escenarios. Nótese que el modelo del paper fundacional es el caso particular n=1 de esta formulación.</w:t>
      </w:r>
    </w:p>
    <w:p>
      <w:pPr>
        <w:spacing w:before="0" w:after="120"/>
        <w:jc w:val="both"/>
      </w:pPr>
      <w:r>
        <w:rPr>
          <w:b w:val="0"/>
          <w:i w:val="0"/>
        </w:rPr>
        <w:t>Cada ola i tiene tres parámetros independientes:</w:t>
      </w:r>
    </w:p>
    <w:p>
      <w:pPr>
        <w:pStyle w:val="ListBullet"/>
        <w:spacing w:after="60"/>
        <w:ind w:left="567"/>
        <w:jc w:val="both"/>
      </w:pPr>
      <w:r>
        <w:rPr>
          <w:rFonts w:ascii="Times New Roman" w:hAnsi="Times New Roman"/>
          <w:sz w:val="22"/>
        </w:rPr>
        <w:t>Kᵢ — amplitud o multiplicador máximo de la ola i. El techo total es 1 + ΣKᵢ.</w:t>
      </w:r>
    </w:p>
    <w:p>
      <w:pPr>
        <w:pStyle w:val="ListBullet"/>
        <w:spacing w:after="60"/>
        <w:ind w:left="567"/>
        <w:jc w:val="both"/>
      </w:pPr>
      <w:r>
        <w:rPr>
          <w:rFonts w:ascii="Times New Roman" w:hAnsi="Times New Roman"/>
          <w:sz w:val="22"/>
        </w:rPr>
        <w:t>γᵢ — velocidad de adopción. Cuanto más rápida la difusión, mayor γᵢ.</w:t>
      </w:r>
    </w:p>
    <w:p>
      <w:pPr>
        <w:pStyle w:val="ListBullet"/>
        <w:spacing w:after="60"/>
        <w:ind w:left="567"/>
        <w:jc w:val="both"/>
      </w:pPr>
      <w:r>
        <w:rPr>
          <w:rFonts w:ascii="Times New Roman" w:hAnsi="Times New Roman"/>
          <w:sz w:val="22"/>
        </w:rPr>
        <w:t>t₀ᵢ — año de inflexión: máxima aceleración de la ola i. El detector SOX/Cobre estima t₀ empíricamente.</w:t>
      </w:r>
    </w:p>
    <w:p>
      <w:pPr>
        <w:pStyle w:val="Heading2"/>
      </w:pPr>
      <w:r>
        <w:t>2.2 Relación con la literatura de difusión tecnológica</w:t>
      </w:r>
    </w:p>
    <w:p>
      <w:pPr>
        <w:spacing w:before="0" w:after="120"/>
        <w:jc w:val="both"/>
      </w:pPr>
      <w:r>
        <w:rPr>
          <w:b w:val="0"/>
          <w:i w:val="0"/>
        </w:rPr>
        <w:t>La formulación de olas anidadas es formalmente equivalente a un modelo de Bass (1969) de adopción tecnológica multi-generacional, donde cada generación tiene su propio período de difusión. Freeman y Louçã (2001) identificaron cinco "ondas largas de Kondratiev" en la historia industrial, cada una con estructura logística propia: máquinas de vapor (1771), acero/ferrocarriles (1829), electrificación (1875), petróleo/automoción (1908) y TIC (1971). La IA y la robótica constituyen la sexta onda, con la particularidad de que la cuarta sub-ola —autofabricación— introduce por primera vez un mecanismo de retroalimentación positiva sin precedente en las olas anteriores.</w:t>
      </w:r>
    </w:p>
    <w:p>
      <w:pPr>
        <w:spacing w:before="0" w:after="120"/>
        <w:jc w:val="both"/>
      </w:pPr>
      <w:r>
        <w:rPr>
          <w:b w:val="0"/>
          <w:i w:val="0"/>
        </w:rPr>
        <w:t>Mokyr (2002) distingue entre macro-inventions (cambios de paradigma) y micro-inventions (mejoras dentro del paradigma). Las olas 1-3 son micro-inventions dentro del paradigma IA; la ola 4 es una macro-invention: cambia la naturaleza del factor de producción.</w:t>
      </w:r>
    </w:p>
    <w:p>
      <w:pPr>
        <w:pStyle w:val="Heading2"/>
      </w:pPr>
      <w:r>
        <w:t>2.3 Calibración de las cuatro olas — autofabricación desde 2027</w:t>
      </w:r>
    </w:p>
    <w:p>
      <w:pPr>
        <w:spacing w:before="0" w:after="120"/>
        <w:jc w:val="both"/>
      </w:pPr>
      <w:r>
        <w:rPr>
          <w:b w:val="0"/>
          <w:i w:val="0"/>
        </w:rPr>
        <w:t>La Tabla 1 presenta la calibración de los parámetros de cada ola basada en evidencia empírica disponible a marzo de 2026:</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454"/>
            <w:shd w:val="clear" w:color="auto" w:fill="E8E8E8"/>
          </w:tcPr>
          <w:p>
            <w:pPr>
              <w:jc w:val="left"/>
            </w:pPr>
            <w:r>
              <w:rPr>
                <w:rFonts w:ascii="Times New Roman" w:hAnsi="Times New Roman"/>
                <w:b/>
                <w:sz w:val="20"/>
              </w:rPr>
              <w:t>Ola</w:t>
            </w:r>
          </w:p>
        </w:tc>
        <w:tc>
          <w:tcPr>
            <w:tcW w:type="dxa" w:w="1814"/>
            <w:shd w:val="clear" w:color="auto" w:fill="E8E8E8"/>
          </w:tcPr>
          <w:p>
            <w:pPr>
              <w:jc w:val="center"/>
            </w:pPr>
            <w:r>
              <w:rPr>
                <w:rFonts w:ascii="Times New Roman" w:hAnsi="Times New Roman"/>
                <w:b/>
                <w:sz w:val="20"/>
              </w:rPr>
              <w:t>Nombre</w:t>
            </w:r>
          </w:p>
        </w:tc>
        <w:tc>
          <w:tcPr>
            <w:tcW w:type="dxa" w:w="1134"/>
            <w:shd w:val="clear" w:color="auto" w:fill="E8E8E8"/>
          </w:tcPr>
          <w:p>
            <w:pPr>
              <w:jc w:val="center"/>
            </w:pPr>
            <w:r>
              <w:rPr>
                <w:rFonts w:ascii="Times New Roman" w:hAnsi="Times New Roman"/>
                <w:b/>
                <w:sz w:val="20"/>
              </w:rPr>
              <w:t>t₀</w:t>
            </w:r>
          </w:p>
        </w:tc>
        <w:tc>
          <w:tcPr>
            <w:tcW w:type="dxa" w:w="454"/>
            <w:shd w:val="clear" w:color="auto" w:fill="E8E8E8"/>
          </w:tcPr>
          <w:p>
            <w:pPr>
              <w:jc w:val="center"/>
            </w:pPr>
            <w:r>
              <w:rPr>
                <w:rFonts w:ascii="Times New Roman" w:hAnsi="Times New Roman"/>
                <w:b/>
                <w:sz w:val="20"/>
              </w:rPr>
              <w:t>K</w:t>
            </w:r>
          </w:p>
        </w:tc>
        <w:tc>
          <w:tcPr>
            <w:tcW w:type="dxa" w:w="454"/>
            <w:shd w:val="clear" w:color="auto" w:fill="E8E8E8"/>
          </w:tcPr>
          <w:p>
            <w:pPr>
              <w:jc w:val="center"/>
            </w:pPr>
            <w:r>
              <w:rPr>
                <w:rFonts w:ascii="Times New Roman" w:hAnsi="Times New Roman"/>
                <w:b/>
                <w:sz w:val="20"/>
              </w:rPr>
              <w:t>γ</w:t>
            </w:r>
          </w:p>
        </w:tc>
        <w:tc>
          <w:tcPr>
            <w:tcW w:type="dxa" w:w="3628"/>
            <w:shd w:val="clear" w:color="auto" w:fill="E8E8E8"/>
          </w:tcPr>
          <w:p>
            <w:pPr>
              <w:jc w:val="center"/>
            </w:pPr>
            <w:r>
              <w:rPr>
                <w:rFonts w:ascii="Times New Roman" w:hAnsi="Times New Roman"/>
                <w:b/>
                <w:sz w:val="20"/>
              </w:rPr>
              <w:t>Base de calibración</w:t>
            </w: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454"/>
          </w:tcPr>
          <w:p>
            <w:pPr>
              <w:jc w:val="left"/>
            </w:pPr>
            <w:r>
              <w:rPr>
                <w:rFonts w:ascii="Times New Roman" w:hAnsi="Times New Roman"/>
                <w:sz w:val="20"/>
              </w:rPr>
              <w:t>1</w:t>
            </w:r>
          </w:p>
        </w:tc>
        <w:tc>
          <w:tcPr>
            <w:tcW w:type="dxa" w:w="1814"/>
          </w:tcPr>
          <w:p>
            <w:pPr>
              <w:jc w:val="center"/>
            </w:pPr>
            <w:r>
              <w:rPr>
                <w:rFonts w:ascii="Times New Roman" w:hAnsi="Times New Roman"/>
                <w:sz w:val="20"/>
              </w:rPr>
              <w:t>LLM / Software IA</w:t>
            </w:r>
          </w:p>
        </w:tc>
        <w:tc>
          <w:tcPr>
            <w:tcW w:type="dxa" w:w="1134"/>
          </w:tcPr>
          <w:p>
            <w:pPr>
              <w:jc w:val="center"/>
            </w:pPr>
            <w:r>
              <w:rPr>
                <w:rFonts w:ascii="Times New Roman" w:hAnsi="Times New Roman"/>
                <w:sz w:val="20"/>
              </w:rPr>
              <w:t>2026 (t=0.5)</w:t>
            </w:r>
          </w:p>
        </w:tc>
        <w:tc>
          <w:tcPr>
            <w:tcW w:type="dxa" w:w="454"/>
          </w:tcPr>
          <w:p>
            <w:pPr>
              <w:jc w:val="center"/>
            </w:pPr>
            <w:r>
              <w:rPr>
                <w:rFonts w:ascii="Times New Roman" w:hAnsi="Times New Roman"/>
                <w:sz w:val="20"/>
              </w:rPr>
              <w:t>1.5</w:t>
            </w:r>
          </w:p>
        </w:tc>
        <w:tc>
          <w:tcPr>
            <w:tcW w:type="dxa" w:w="454"/>
          </w:tcPr>
          <w:p>
            <w:pPr>
              <w:jc w:val="center"/>
            </w:pPr>
            <w:r>
              <w:rPr>
                <w:rFonts w:ascii="Times New Roman" w:hAnsi="Times New Roman"/>
                <w:sz w:val="20"/>
              </w:rPr>
              <w:t>1.4</w:t>
            </w:r>
          </w:p>
        </w:tc>
        <w:tc>
          <w:tcPr>
            <w:tcW w:type="dxa" w:w="3628"/>
          </w:tcPr>
          <w:p>
            <w:pPr>
              <w:jc w:val="center"/>
            </w:pPr>
            <w:r>
              <w:rPr>
                <w:rFonts w:ascii="Times New Roman" w:hAnsi="Times New Roman"/>
                <w:sz w:val="20"/>
              </w:rPr>
              <w:t>Adopción ChatGPT/Copilot en marcha; 100M usuarios en 2 meses (OpenAI, 2023)</w:t>
            </w:r>
          </w:p>
        </w:tc>
      </w:tr>
      <w:tr>
        <w:tc>
          <w:tcPr>
            <w:tcW w:type="dxa" w:w="454"/>
          </w:tcPr>
          <w:p>
            <w:pPr>
              <w:jc w:val="left"/>
            </w:pPr>
            <w:r>
              <w:rPr>
                <w:rFonts w:ascii="Times New Roman" w:hAnsi="Times New Roman"/>
                <w:sz w:val="20"/>
              </w:rPr>
              <w:t>2</w:t>
            </w:r>
          </w:p>
        </w:tc>
        <w:tc>
          <w:tcPr>
            <w:tcW w:type="dxa" w:w="1814"/>
          </w:tcPr>
          <w:p>
            <w:pPr>
              <w:jc w:val="center"/>
            </w:pPr>
            <w:r>
              <w:rPr>
                <w:rFonts w:ascii="Times New Roman" w:hAnsi="Times New Roman"/>
                <w:sz w:val="20"/>
              </w:rPr>
              <w:t>Robótica + autofab inicial</w:t>
            </w:r>
          </w:p>
        </w:tc>
        <w:tc>
          <w:tcPr>
            <w:tcW w:type="dxa" w:w="1134"/>
          </w:tcPr>
          <w:p>
            <w:pPr>
              <w:jc w:val="center"/>
            </w:pPr>
            <w:r>
              <w:rPr>
                <w:rFonts w:ascii="Times New Roman" w:hAnsi="Times New Roman"/>
                <w:sz w:val="20"/>
              </w:rPr>
              <w:t>2027 (t=1.0)</w:t>
            </w:r>
          </w:p>
        </w:tc>
        <w:tc>
          <w:tcPr>
            <w:tcW w:type="dxa" w:w="454"/>
          </w:tcPr>
          <w:p>
            <w:pPr>
              <w:jc w:val="center"/>
            </w:pPr>
            <w:r>
              <w:rPr>
                <w:rFonts w:ascii="Times New Roman" w:hAnsi="Times New Roman"/>
                <w:sz w:val="20"/>
              </w:rPr>
              <w:t>2.5</w:t>
            </w:r>
          </w:p>
        </w:tc>
        <w:tc>
          <w:tcPr>
            <w:tcW w:type="dxa" w:w="454"/>
          </w:tcPr>
          <w:p>
            <w:pPr>
              <w:jc w:val="center"/>
            </w:pPr>
            <w:r>
              <w:rPr>
                <w:rFonts w:ascii="Times New Roman" w:hAnsi="Times New Roman"/>
                <w:sz w:val="20"/>
              </w:rPr>
              <w:t>1.2</w:t>
            </w:r>
          </w:p>
        </w:tc>
        <w:tc>
          <w:tcPr>
            <w:tcW w:type="dxa" w:w="3628"/>
          </w:tcPr>
          <w:p>
            <w:pPr>
              <w:jc w:val="center"/>
            </w:pPr>
            <w:r>
              <w:rPr>
                <w:rFonts w:ascii="Times New Roman" w:hAnsi="Times New Roman"/>
                <w:sz w:val="20"/>
              </w:rPr>
              <w:t>Primera línea autofabricante operativa; Figure, Tesla Optimus, TSMC fab lights-out</w:t>
            </w:r>
          </w:p>
        </w:tc>
      </w:tr>
      <w:tr>
        <w:tc>
          <w:tcPr>
            <w:tcW w:type="dxa" w:w="454"/>
          </w:tcPr>
          <w:p>
            <w:pPr>
              <w:jc w:val="left"/>
            </w:pPr>
            <w:r>
              <w:rPr>
                <w:rFonts w:ascii="Times New Roman" w:hAnsi="Times New Roman"/>
                <w:sz w:val="20"/>
              </w:rPr>
              <w:t>3</w:t>
            </w:r>
          </w:p>
        </w:tc>
        <w:tc>
          <w:tcPr>
            <w:tcW w:type="dxa" w:w="1814"/>
          </w:tcPr>
          <w:p>
            <w:pPr>
              <w:jc w:val="center"/>
            </w:pPr>
            <w:r>
              <w:rPr>
                <w:rFonts w:ascii="Times New Roman" w:hAnsi="Times New Roman"/>
                <w:sz w:val="20"/>
              </w:rPr>
              <w:t>Agentes autónomos</w:t>
            </w:r>
          </w:p>
        </w:tc>
        <w:tc>
          <w:tcPr>
            <w:tcW w:type="dxa" w:w="1134"/>
          </w:tcPr>
          <w:p>
            <w:pPr>
              <w:jc w:val="center"/>
            </w:pPr>
            <w:r>
              <w:rPr>
                <w:rFonts w:ascii="Times New Roman" w:hAnsi="Times New Roman"/>
                <w:sz w:val="20"/>
              </w:rPr>
              <w:t>2029 (t=3.0)</w:t>
            </w:r>
          </w:p>
        </w:tc>
        <w:tc>
          <w:tcPr>
            <w:tcW w:type="dxa" w:w="454"/>
          </w:tcPr>
          <w:p>
            <w:pPr>
              <w:jc w:val="center"/>
            </w:pPr>
            <w:r>
              <w:rPr>
                <w:rFonts w:ascii="Times New Roman" w:hAnsi="Times New Roman"/>
                <w:sz w:val="20"/>
              </w:rPr>
              <w:t>3.5</w:t>
            </w:r>
          </w:p>
        </w:tc>
        <w:tc>
          <w:tcPr>
            <w:tcW w:type="dxa" w:w="454"/>
          </w:tcPr>
          <w:p>
            <w:pPr>
              <w:jc w:val="center"/>
            </w:pPr>
            <w:r>
              <w:rPr>
                <w:rFonts w:ascii="Times New Roman" w:hAnsi="Times New Roman"/>
                <w:sz w:val="20"/>
              </w:rPr>
              <w:t>0.9</w:t>
            </w:r>
          </w:p>
        </w:tc>
        <w:tc>
          <w:tcPr>
            <w:tcW w:type="dxa" w:w="3628"/>
          </w:tcPr>
          <w:p>
            <w:pPr>
              <w:jc w:val="center"/>
            </w:pPr>
            <w:r>
              <w:rPr>
                <w:rFonts w:ascii="Times New Roman" w:hAnsi="Times New Roman"/>
                <w:sz w:val="20"/>
              </w:rPr>
              <w:t>IA que diseña y despliega sistemas propios; ritmo Devin, AutoGPT evolucionados</w:t>
            </w:r>
          </w:p>
        </w:tc>
      </w:tr>
      <w:tr>
        <w:tc>
          <w:tcPr>
            <w:tcW w:type="dxa" w:w="454"/>
          </w:tcPr>
          <w:p>
            <w:pPr>
              <w:jc w:val="left"/>
            </w:pPr>
            <w:r>
              <w:rPr>
                <w:rFonts w:ascii="Times New Roman" w:hAnsi="Times New Roman"/>
                <w:sz w:val="20"/>
              </w:rPr>
              <w:t>4</w:t>
            </w:r>
          </w:p>
        </w:tc>
        <w:tc>
          <w:tcPr>
            <w:tcW w:type="dxa" w:w="1814"/>
          </w:tcPr>
          <w:p>
            <w:pPr>
              <w:jc w:val="center"/>
            </w:pPr>
            <w:r>
              <w:rPr>
                <w:rFonts w:ascii="Times New Roman" w:hAnsi="Times New Roman"/>
                <w:sz w:val="20"/>
              </w:rPr>
              <w:t>Autofab 2ª fase</w:t>
            </w:r>
          </w:p>
        </w:tc>
        <w:tc>
          <w:tcPr>
            <w:tcW w:type="dxa" w:w="1134"/>
          </w:tcPr>
          <w:p>
            <w:pPr>
              <w:jc w:val="center"/>
            </w:pPr>
            <w:r>
              <w:rPr>
                <w:rFonts w:ascii="Times New Roman" w:hAnsi="Times New Roman"/>
                <w:sz w:val="20"/>
              </w:rPr>
              <w:t>2031 (t=5.0)</w:t>
            </w:r>
          </w:p>
        </w:tc>
        <w:tc>
          <w:tcPr>
            <w:tcW w:type="dxa" w:w="454"/>
          </w:tcPr>
          <w:p>
            <w:pPr>
              <w:jc w:val="center"/>
            </w:pPr>
            <w:r>
              <w:rPr>
                <w:rFonts w:ascii="Times New Roman" w:hAnsi="Times New Roman"/>
                <w:sz w:val="20"/>
              </w:rPr>
              <w:t>5.0</w:t>
            </w:r>
          </w:p>
        </w:tc>
        <w:tc>
          <w:tcPr>
            <w:tcW w:type="dxa" w:w="454"/>
          </w:tcPr>
          <w:p>
            <w:pPr>
              <w:jc w:val="center"/>
            </w:pPr>
            <w:r>
              <w:rPr>
                <w:rFonts w:ascii="Times New Roman" w:hAnsi="Times New Roman"/>
                <w:sz w:val="20"/>
              </w:rPr>
              <w:t>0.7</w:t>
            </w:r>
          </w:p>
        </w:tc>
        <w:tc>
          <w:tcPr>
            <w:tcW w:type="dxa" w:w="3628"/>
          </w:tcPr>
          <w:p>
            <w:pPr>
              <w:jc w:val="center"/>
            </w:pPr>
            <w:r>
              <w:rPr>
                <w:rFonts w:ascii="Times New Roman" w:hAnsi="Times New Roman"/>
                <w:sz w:val="20"/>
              </w:rPr>
              <w:t>Autofabricación generalizada en manufactura amplia; η &gt; 0.30 confirmado</w:t>
            </w:r>
          </w:p>
        </w:tc>
      </w:tr>
    </w:tbl>
    <w:p/>
    <w:p>
      <w:pPr>
        <w:spacing w:before="0" w:after="80"/>
        <w:ind w:left="567"/>
        <w:jc w:val="both"/>
      </w:pPr>
      <w:r>
        <w:rPr>
          <w:rFonts w:ascii="Times New Roman" w:hAnsi="Times New Roman"/>
          <w:i/>
          <w:sz w:val="18"/>
        </w:rPr>
        <w:t>Tabla 1. Parámetros calibrados de las cuatro olas. t=0 corresponde a enero 2026. Revisión de marzo 2026: la ola 2 se adelanta a 2027 basada en hoja de ruta publicada por Boston Dynamics, Figure AI y TSMC. γ en unidades anuales.</w:t>
      </w:r>
    </w:p>
    <w:p>
      <w:pPr>
        <w:spacing w:before="0" w:after="120"/>
        <w:jc w:val="both"/>
      </w:pPr>
      <w:r>
        <w:rPr>
          <w:b w:val="0"/>
          <w:i w:val="0"/>
        </w:rPr>
        <w:t>El techo total del factor Φ_nested es 1 + 1.5 + 2.5 + 3.5 + 5.0 = 13.5×, lo que implica que una cartera perfectamente posicionada en los pilares de la tesis podría multiplicar su valor 13.5 veces en términos reales a lo largo del horizonte completo, además del componente (1+r)^t. Este es el escenario "óptimo extremo"; los escenarios del paper fundacional (K base = 2, K óptimo = 6) corresponden a la materialización parcial de las olas 1 y 2.</w:t>
      </w:r>
    </w:p>
    <w:p>
      <w:r>
        <w:br w:type="page"/>
      </w:r>
    </w:p>
    <w:p>
      <w:pPr>
        <w:pStyle w:val="Heading1"/>
      </w:pPr>
      <w:r>
        <w:t>3. Autofabricación Robótica: Dinámica de Feedback</w:t>
      </w:r>
    </w:p>
    <w:p>
      <w:pPr>
        <w:pStyle w:val="Heading2"/>
      </w:pPr>
      <w:r>
        <w:t>3.1 El modelo de retroalimentación</w:t>
      </w:r>
    </w:p>
    <w:p>
      <w:pPr>
        <w:spacing w:before="0" w:after="120"/>
        <w:jc w:val="both"/>
      </w:pPr>
      <w:r>
        <w:rPr>
          <w:b w:val="0"/>
          <w:i w:val="0"/>
        </w:rPr>
        <w:t>Cuando robots pueden fabricar robots, la dinámica de la capacidad productiva deja de ser exógena y se convierte en un sistema con retroalimentación positiva. El modelo diferencial más simple que captura esta propiedad es:</w:t>
      </w:r>
    </w:p>
    <w:p>
      <w:pPr>
        <w:spacing w:before="120" w:after="120"/>
        <w:jc w:val="center"/>
      </w:pPr>
      <w:r>
        <w:rPr>
          <w:rFonts w:ascii="Courier New" w:hAnsi="Courier New"/>
          <w:b/>
          <w:sz w:val="22"/>
        </w:rPr>
        <w:t>dR/dt = α_R · η(t) · R(t) + P_H</w:t>
      </w:r>
    </w:p>
    <w:p>
      <w:pPr>
        <w:spacing w:before="0" w:after="120"/>
        <w:jc w:val="both"/>
      </w:pPr>
      <w:r>
        <w:rPr>
          <w:b w:val="0"/>
          <w:i w:val="0"/>
        </w:rPr>
        <w:t>donde R(t) es la capacidad robótica total normalizada (R₀ = 1 en el año de inicio de la autofabricación), α_R es la tasa de replicación máxima del sistema robótico, η(t) ∈ [0,1] es la eficiencia de autorreplicación (fracción de la flota capaz de fabricar nuevas unidades), y P_H es la componente exógena de producción humana.</w:t>
      </w:r>
    </w:p>
    <w:p>
      <w:pPr>
        <w:spacing w:before="0" w:after="120"/>
        <w:jc w:val="both"/>
      </w:pPr>
      <w:r>
        <w:rPr>
          <w:b w:val="0"/>
          <w:i w:val="0"/>
        </w:rPr>
        <w:t>Con η constante, la solución es:</w:t>
      </w:r>
    </w:p>
    <w:p>
      <w:pPr>
        <w:spacing w:before="120" w:after="120"/>
        <w:jc w:val="center"/>
      </w:pPr>
      <w:r>
        <w:rPr>
          <w:rFonts w:ascii="Courier New" w:hAnsi="Courier New"/>
          <w:b/>
          <w:sz w:val="22"/>
        </w:rPr>
        <w:t>R(t) = (R₀ + P_H/α_R) · e^(α_R · η · t)  −  P_H/α_R</w:t>
      </w:r>
    </w:p>
    <w:p>
      <w:pPr>
        <w:spacing w:before="0" w:after="120"/>
        <w:jc w:val="both"/>
      </w:pPr>
      <w:r>
        <w:rPr>
          <w:b w:val="0"/>
          <w:i w:val="0"/>
        </w:rPr>
        <w:t>El coste unitario de producción cae como el inverso de la capacidad:</w:t>
      </w:r>
    </w:p>
    <w:p>
      <w:pPr>
        <w:spacing w:before="120" w:after="120"/>
        <w:jc w:val="center"/>
      </w:pPr>
      <w:r>
        <w:rPr>
          <w:rFonts w:ascii="Courier New" w:hAnsi="Courier New"/>
          <w:b/>
          <w:sz w:val="22"/>
        </w:rPr>
        <w:t>C(t) ∝ 1 / R(t)  →  0  cuando  t → ∞</w:t>
      </w:r>
    </w:p>
    <w:p>
      <w:pPr>
        <w:spacing w:before="0" w:after="120"/>
        <w:jc w:val="both"/>
      </w:pPr>
      <w:r>
        <w:rPr>
          <w:b w:val="0"/>
          <w:i w:val="0"/>
        </w:rPr>
        <w:t>La Tabla 2 muestra las proyecciones de capacidad y coste relativo para tres escenarios de η a partir del arranque de la autofabricación en 2027:</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567"/>
            <w:shd w:val="clear" w:color="auto" w:fill="E8E8E8"/>
          </w:tcPr>
          <w:p>
            <w:pPr>
              <w:jc w:val="left"/>
            </w:pPr>
            <w:r>
              <w:rPr>
                <w:rFonts w:ascii="Times New Roman" w:hAnsi="Times New Roman"/>
                <w:b/>
                <w:sz w:val="20"/>
              </w:rPr>
              <w:t>η</w:t>
            </w:r>
          </w:p>
        </w:tc>
        <w:tc>
          <w:tcPr>
            <w:tcW w:type="dxa" w:w="1701"/>
            <w:shd w:val="clear" w:color="auto" w:fill="E8E8E8"/>
          </w:tcPr>
          <w:p>
            <w:pPr>
              <w:jc w:val="center"/>
            </w:pPr>
            <w:r>
              <w:rPr>
                <w:rFonts w:ascii="Times New Roman" w:hAnsi="Times New Roman"/>
                <w:b/>
                <w:sz w:val="20"/>
              </w:rPr>
              <w:t>Escenario</w:t>
            </w:r>
          </w:p>
        </w:tc>
        <w:tc>
          <w:tcPr>
            <w:tcW w:type="dxa" w:w="1247"/>
            <w:shd w:val="clear" w:color="auto" w:fill="E8E8E8"/>
          </w:tcPr>
          <w:p>
            <w:pPr>
              <w:jc w:val="center"/>
            </w:pPr>
            <w:r>
              <w:rPr>
                <w:rFonts w:ascii="Times New Roman" w:hAnsi="Times New Roman"/>
                <w:b/>
                <w:sz w:val="20"/>
              </w:rPr>
              <w:t>2030 (t+3)</w:t>
            </w:r>
          </w:p>
        </w:tc>
        <w:tc>
          <w:tcPr>
            <w:tcW w:type="dxa" w:w="1247"/>
            <w:shd w:val="clear" w:color="auto" w:fill="E8E8E8"/>
          </w:tcPr>
          <w:p>
            <w:pPr>
              <w:jc w:val="center"/>
            </w:pPr>
            <w:r>
              <w:rPr>
                <w:rFonts w:ascii="Times New Roman" w:hAnsi="Times New Roman"/>
                <w:b/>
                <w:sz w:val="20"/>
              </w:rPr>
              <w:t>2032 (t+5)</w:t>
            </w:r>
          </w:p>
        </w:tc>
        <w:tc>
          <w:tcPr>
            <w:tcW w:type="dxa" w:w="1247"/>
            <w:shd w:val="clear" w:color="auto" w:fill="E8E8E8"/>
          </w:tcPr>
          <w:p>
            <w:pPr>
              <w:jc w:val="center"/>
            </w:pPr>
            <w:r>
              <w:rPr>
                <w:rFonts w:ascii="Times New Roman" w:hAnsi="Times New Roman"/>
                <w:b/>
                <w:sz w:val="20"/>
              </w:rPr>
              <w:t>2035 (t+8)</w:t>
            </w:r>
          </w:p>
        </w:tc>
        <w:tc>
          <w:tcPr>
            <w:tcW w:type="dxa" w:w="1361"/>
            <w:shd w:val="clear" w:color="auto" w:fill="E8E8E8"/>
          </w:tcPr>
          <w:p>
            <w:pPr>
              <w:jc w:val="center"/>
            </w:pPr>
            <w:r>
              <w:rPr>
                <w:rFonts w:ascii="Times New Roman" w:hAnsi="Times New Roman"/>
                <w:b/>
                <w:sz w:val="20"/>
              </w:rPr>
              <w:t>Coste rel. 2032</w:t>
            </w: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567"/>
          </w:tcPr>
          <w:p>
            <w:pPr>
              <w:jc w:val="left"/>
            </w:pPr>
            <w:r>
              <w:rPr>
                <w:rFonts w:ascii="Times New Roman" w:hAnsi="Times New Roman"/>
                <w:sz w:val="20"/>
              </w:rPr>
              <w:t>0.05</w:t>
            </w:r>
          </w:p>
        </w:tc>
        <w:tc>
          <w:tcPr>
            <w:tcW w:type="dxa" w:w="1701"/>
          </w:tcPr>
          <w:p>
            <w:pPr>
              <w:jc w:val="center"/>
            </w:pPr>
            <w:r>
              <w:rPr>
                <w:rFonts w:ascii="Times New Roman" w:hAnsi="Times New Roman"/>
                <w:sz w:val="20"/>
              </w:rPr>
              <w:t>Conservador</w:t>
            </w:r>
          </w:p>
        </w:tc>
        <w:tc>
          <w:tcPr>
            <w:tcW w:type="dxa" w:w="1247"/>
          </w:tcPr>
          <w:p>
            <w:pPr>
              <w:jc w:val="center"/>
            </w:pPr>
            <w:r>
              <w:rPr>
                <w:rFonts w:ascii="Times New Roman" w:hAnsi="Times New Roman"/>
                <w:sz w:val="20"/>
              </w:rPr>
              <w:t>1.5×</w:t>
            </w:r>
          </w:p>
        </w:tc>
        <w:tc>
          <w:tcPr>
            <w:tcW w:type="dxa" w:w="1247"/>
          </w:tcPr>
          <w:p>
            <w:pPr>
              <w:jc w:val="center"/>
            </w:pPr>
            <w:r>
              <w:rPr>
                <w:rFonts w:ascii="Times New Roman" w:hAnsi="Times New Roman"/>
                <w:sz w:val="20"/>
              </w:rPr>
              <w:t>1.8×</w:t>
            </w:r>
          </w:p>
        </w:tc>
        <w:tc>
          <w:tcPr>
            <w:tcW w:type="dxa" w:w="1247"/>
          </w:tcPr>
          <w:p>
            <w:pPr>
              <w:jc w:val="center"/>
            </w:pPr>
            <w:r>
              <w:rPr>
                <w:rFonts w:ascii="Times New Roman" w:hAnsi="Times New Roman"/>
                <w:sz w:val="20"/>
              </w:rPr>
              <w:t>2.5×</w:t>
            </w:r>
          </w:p>
        </w:tc>
        <w:tc>
          <w:tcPr>
            <w:tcW w:type="dxa" w:w="1361"/>
          </w:tcPr>
          <w:p>
            <w:pPr>
              <w:jc w:val="center"/>
            </w:pPr>
            <w:r>
              <w:rPr>
                <w:rFonts w:ascii="Times New Roman" w:hAnsi="Times New Roman"/>
                <w:sz w:val="20"/>
              </w:rPr>
              <w:t>56%</w:t>
            </w:r>
          </w:p>
        </w:tc>
      </w:tr>
      <w:tr>
        <w:tc>
          <w:tcPr>
            <w:tcW w:type="dxa" w:w="567"/>
          </w:tcPr>
          <w:p>
            <w:pPr>
              <w:jc w:val="left"/>
            </w:pPr>
            <w:r>
              <w:rPr>
                <w:rFonts w:ascii="Times New Roman" w:hAnsi="Times New Roman"/>
                <w:sz w:val="20"/>
              </w:rPr>
              <w:t>0.20</w:t>
            </w:r>
          </w:p>
        </w:tc>
        <w:tc>
          <w:tcPr>
            <w:tcW w:type="dxa" w:w="1701"/>
          </w:tcPr>
          <w:p>
            <w:pPr>
              <w:jc w:val="center"/>
            </w:pPr>
            <w:r>
              <w:rPr>
                <w:rFonts w:ascii="Times New Roman" w:hAnsi="Times New Roman"/>
                <w:sz w:val="20"/>
              </w:rPr>
              <w:t>Base</w:t>
            </w:r>
          </w:p>
        </w:tc>
        <w:tc>
          <w:tcPr>
            <w:tcW w:type="dxa" w:w="1247"/>
          </w:tcPr>
          <w:p>
            <w:pPr>
              <w:jc w:val="center"/>
            </w:pPr>
            <w:r>
              <w:rPr>
                <w:rFonts w:ascii="Times New Roman" w:hAnsi="Times New Roman"/>
                <w:sz w:val="20"/>
              </w:rPr>
              <w:t>3.0×</w:t>
            </w:r>
          </w:p>
        </w:tc>
        <w:tc>
          <w:tcPr>
            <w:tcW w:type="dxa" w:w="1247"/>
          </w:tcPr>
          <w:p>
            <w:pPr>
              <w:jc w:val="center"/>
            </w:pPr>
            <w:r>
              <w:rPr>
                <w:rFonts w:ascii="Times New Roman" w:hAnsi="Times New Roman"/>
                <w:sz w:val="20"/>
              </w:rPr>
              <w:t>6.2×</w:t>
            </w:r>
          </w:p>
        </w:tc>
        <w:tc>
          <w:tcPr>
            <w:tcW w:type="dxa" w:w="1247"/>
          </w:tcPr>
          <w:p>
            <w:pPr>
              <w:jc w:val="center"/>
            </w:pPr>
            <w:r>
              <w:rPr>
                <w:rFonts w:ascii="Times New Roman" w:hAnsi="Times New Roman"/>
                <w:sz w:val="20"/>
              </w:rPr>
              <w:t>22×</w:t>
            </w:r>
          </w:p>
        </w:tc>
        <w:tc>
          <w:tcPr>
            <w:tcW w:type="dxa" w:w="1361"/>
          </w:tcPr>
          <w:p>
            <w:pPr>
              <w:jc w:val="center"/>
            </w:pPr>
            <w:r>
              <w:rPr>
                <w:rFonts w:ascii="Times New Roman" w:hAnsi="Times New Roman"/>
                <w:sz w:val="20"/>
              </w:rPr>
              <w:t>16%</w:t>
            </w:r>
          </w:p>
        </w:tc>
      </w:tr>
      <w:tr>
        <w:tc>
          <w:tcPr>
            <w:tcW w:type="dxa" w:w="567"/>
          </w:tcPr>
          <w:p>
            <w:pPr>
              <w:jc w:val="left"/>
            </w:pPr>
            <w:r>
              <w:rPr>
                <w:rFonts w:ascii="Times New Roman" w:hAnsi="Times New Roman"/>
                <w:sz w:val="20"/>
              </w:rPr>
              <w:t>0.50</w:t>
            </w:r>
          </w:p>
        </w:tc>
        <w:tc>
          <w:tcPr>
            <w:tcW w:type="dxa" w:w="1701"/>
          </w:tcPr>
          <w:p>
            <w:pPr>
              <w:jc w:val="center"/>
            </w:pPr>
            <w:r>
              <w:rPr>
                <w:rFonts w:ascii="Times New Roman" w:hAnsi="Times New Roman"/>
                <w:sz w:val="20"/>
              </w:rPr>
              <w:t>Agresivo</w:t>
            </w:r>
          </w:p>
        </w:tc>
        <w:tc>
          <w:tcPr>
            <w:tcW w:type="dxa" w:w="1247"/>
          </w:tcPr>
          <w:p>
            <w:pPr>
              <w:jc w:val="center"/>
            </w:pPr>
            <w:r>
              <w:rPr>
                <w:rFonts w:ascii="Times New Roman" w:hAnsi="Times New Roman"/>
                <w:sz w:val="20"/>
              </w:rPr>
              <w:t>12×</w:t>
            </w:r>
          </w:p>
        </w:tc>
        <w:tc>
          <w:tcPr>
            <w:tcW w:type="dxa" w:w="1247"/>
          </w:tcPr>
          <w:p>
            <w:pPr>
              <w:jc w:val="center"/>
            </w:pPr>
            <w:r>
              <w:rPr>
                <w:rFonts w:ascii="Times New Roman" w:hAnsi="Times New Roman"/>
                <w:sz w:val="20"/>
              </w:rPr>
              <w:t>66×</w:t>
            </w:r>
          </w:p>
        </w:tc>
        <w:tc>
          <w:tcPr>
            <w:tcW w:type="dxa" w:w="1247"/>
          </w:tcPr>
          <w:p>
            <w:pPr>
              <w:jc w:val="center"/>
            </w:pPr>
            <w:r>
              <w:rPr>
                <w:rFonts w:ascii="Times New Roman" w:hAnsi="Times New Roman"/>
                <w:sz w:val="20"/>
              </w:rPr>
              <w:t>2100×</w:t>
            </w:r>
          </w:p>
        </w:tc>
        <w:tc>
          <w:tcPr>
            <w:tcW w:type="dxa" w:w="1361"/>
          </w:tcPr>
          <w:p>
            <w:pPr>
              <w:jc w:val="center"/>
            </w:pPr>
            <w:r>
              <w:rPr>
                <w:rFonts w:ascii="Times New Roman" w:hAnsi="Times New Roman"/>
                <w:sz w:val="20"/>
              </w:rPr>
              <w:t>1.5%</w:t>
            </w:r>
          </w:p>
        </w:tc>
      </w:tr>
    </w:tbl>
    <w:p/>
    <w:p>
      <w:pPr>
        <w:spacing w:before="0" w:after="80"/>
        <w:ind w:left="567"/>
        <w:jc w:val="both"/>
      </w:pPr>
      <w:r>
        <w:rPr>
          <w:rFonts w:ascii="Times New Roman" w:hAnsi="Times New Roman"/>
          <w:i/>
          <w:sz w:val="18"/>
        </w:rPr>
        <w:t>Tabla 2. Proyecciones de capacidad robótica y coste relativo desde 2027. α_R = 0.30, P_H = 0.05, R₀ = 1. Los valores de η = 0.50 son especulativos. El escenario base (η=0.20) implica coste relativo del 33% en 2030 (capacidad 3×) y 16% en 2032 (capacidad 6.2×).</w:t>
      </w:r>
    </w:p>
    <w:p>
      <w:pPr>
        <w:pStyle w:val="Heading2"/>
      </w:pPr>
      <w:r>
        <w:t>3.2 Velocidad del colapso del coste de producción</w:t>
      </w:r>
    </w:p>
    <w:p>
      <w:pPr>
        <w:spacing w:before="0" w:after="120"/>
        <w:jc w:val="both"/>
      </w:pPr>
      <w:r>
        <w:rPr>
          <w:b w:val="0"/>
          <w:i w:val="0"/>
        </w:rPr>
        <w:t>La implicación económica clave no es el nivel absoluto de R(t), sino la velocidad a la que C(t) cae. En el escenario base (η = 0.20), el coste unitario de producción se reduce a la mitad en aproximadamente 3.5 años desde el inicio de la autofabricación. Para comparación: la Ley de Moore tardó aproximadamente 2 años en halvar el coste por transistor, pero solo aplicaba a semiconductores. La autofabricación robótica aplica potencialmente a todo objeto físico manufacturado.</w:t>
      </w:r>
    </w:p>
    <w:p>
      <w:pPr>
        <w:spacing w:before="0" w:after="120"/>
        <w:jc w:val="both"/>
      </w:pPr>
      <w:r>
        <w:rPr>
          <w:b w:val="0"/>
          <w:i w:val="0"/>
        </w:rPr>
        <w:t>Este colapso de costes tiene un precedente histórico parcial: la revolución textil en Lancashire (1780-1820) redujo el coste de la tela de algodón en un 90% en cuatro décadas. La autofabricación robótica podría comprimir ese proceso a menos de una década para categorías enteras de manufactura.</w:t>
      </w:r>
    </w:p>
    <w:p>
      <w:pPr>
        <w:pStyle w:val="Heading2"/>
      </w:pPr>
      <w:r>
        <w:t>3.3 La prima de escasez en un mundo de producción ilimitada</w:t>
      </w:r>
    </w:p>
    <w:p>
      <w:pPr>
        <w:spacing w:before="0" w:after="120"/>
        <w:jc w:val="both"/>
      </w:pPr>
      <w:r>
        <w:rPr>
          <w:b w:val="0"/>
          <w:i w:val="0"/>
        </w:rPr>
        <w:t>Cuando el coste de producción tiende hacia cero, el valor de los bienes producibles también tiende hacia cero. Pero la misma dinámica genera el efecto opuesto sobre los bienes con oferta genuinamente inelástica: su prima de escasez aumenta en términos relativos.</w:t>
      </w:r>
    </w:p>
    <w:p>
      <w:pPr>
        <w:spacing w:before="0" w:after="120"/>
        <w:jc w:val="both"/>
      </w:pPr>
      <w:r>
        <w:rPr>
          <w:b w:val="0"/>
          <w:i w:val="0"/>
        </w:rPr>
        <w:t>Formalizamos esto mediante el coeficiente de escasez εᵢ ∈ [0,1] de cada activo, definido como la fracción de su valor que no puede ser replicada por un proceso de manufactura automatizado. La prima de escasez es:</w:t>
      </w:r>
    </w:p>
    <w:p>
      <w:pPr>
        <w:spacing w:before="120" w:after="120"/>
        <w:jc w:val="center"/>
      </w:pPr>
      <w:r>
        <w:rPr>
          <w:rFonts w:ascii="Courier New" w:hAnsi="Courier New"/>
          <w:b/>
          <w:sz w:val="22"/>
        </w:rPr>
        <w:t>S_i(t) = 1 + ε_i · (R(t) − 1) / R(t)</w:t>
      </w:r>
    </w:p>
    <w:p>
      <w:pPr>
        <w:spacing w:before="0" w:after="120"/>
        <w:jc w:val="both"/>
      </w:pPr>
      <w:r>
        <w:rPr>
          <w:b w:val="0"/>
          <w:i w:val="0"/>
        </w:rPr>
        <w:t>Nótese que S_i → 1 + εᵢ cuando R → ∞: en el límite de producción ilimitada, los activos con ε = 1 duplican su valor relativo, mientras que los activos con ε = 0 no se benefician. La Tabla 3 presenta los coeficientes de escasez estimados para las categorías de la cartera: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1984"/>
            <w:shd w:val="clear" w:color="auto" w:fill="E8E8E8"/>
          </w:tcPr>
          <w:p>
            <w:pPr>
              <w:jc w:val="left"/>
            </w:pPr>
            <w:r>
              <w:rPr>
                <w:rFonts w:ascii="Times New Roman" w:hAnsi="Times New Roman"/>
                <w:b/>
                <w:sz w:val="20"/>
              </w:rPr>
              <w:t>Categoría</w:t>
            </w:r>
          </w:p>
        </w:tc>
        <w:tc>
          <w:tcPr>
            <w:tcW w:type="dxa" w:w="567"/>
            <w:shd w:val="clear" w:color="auto" w:fill="E8E8E8"/>
          </w:tcPr>
          <w:p>
            <w:pPr>
              <w:jc w:val="center"/>
            </w:pPr>
            <w:r>
              <w:rPr>
                <w:rFonts w:ascii="Times New Roman" w:hAnsi="Times New Roman"/>
                <w:b/>
                <w:sz w:val="20"/>
              </w:rPr>
              <w:t>εᵢ</w:t>
            </w:r>
          </w:p>
        </w:tc>
        <w:tc>
          <w:tcPr>
            <w:tcW w:type="dxa" w:w="4252"/>
            <w:shd w:val="clear" w:color="auto" w:fill="E8E8E8"/>
          </w:tcPr>
          <w:p>
            <w:pPr>
              <w:jc w:val="center"/>
            </w:pPr>
            <w:r>
              <w:rPr>
                <w:rFonts w:ascii="Times New Roman" w:hAnsi="Times New Roman"/>
                <w:b/>
                <w:sz w:val="20"/>
              </w:rPr>
              <w:t>Justificación</w:t>
            </w:r>
          </w:p>
        </w:tc>
        <w:tc>
          <w:tcPr>
            <w:tcW w:type="dxa" w:w="1134"/>
            <w:shd w:val="clear" w:color="auto" w:fill="E8E8E8"/>
          </w:tcPr>
          <w:p>
            <w:pPr>
              <w:jc w:val="center"/>
            </w:pPr>
            <w:r>
              <w:rPr>
                <w:rFonts w:ascii="Times New Roman" w:hAnsi="Times New Roman"/>
                <w:b/>
                <w:sz w:val="20"/>
              </w:rPr>
              <w:t>Límite S_i(∞)</w:t>
            </w: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1984"/>
          </w:tcPr>
          <w:p>
            <w:pPr>
              <w:jc w:val="left"/>
            </w:pPr>
            <w:r>
              <w:rPr>
                <w:rFonts w:ascii="Times New Roman" w:hAnsi="Times New Roman"/>
                <w:sz w:val="20"/>
              </w:rPr>
              <w:t>Bitcoin</w:t>
            </w:r>
          </w:p>
        </w:tc>
        <w:tc>
          <w:tcPr>
            <w:tcW w:type="dxa" w:w="567"/>
          </w:tcPr>
          <w:p>
            <w:pPr>
              <w:jc w:val="center"/>
            </w:pPr>
            <w:r>
              <w:rPr>
                <w:rFonts w:ascii="Times New Roman" w:hAnsi="Times New Roman"/>
                <w:sz w:val="20"/>
              </w:rPr>
              <w:t>1.00</w:t>
            </w:r>
          </w:p>
        </w:tc>
        <w:tc>
          <w:tcPr>
            <w:tcW w:type="dxa" w:w="4252"/>
          </w:tcPr>
          <w:p>
            <w:pPr>
              <w:jc w:val="center"/>
            </w:pPr>
            <w:r>
              <w:rPr>
                <w:rFonts w:ascii="Times New Roman" w:hAnsi="Times New Roman"/>
                <w:sz w:val="20"/>
              </w:rPr>
              <w:t>Oferta fija por protocolo matemático; imposible de replicar</w:t>
            </w:r>
          </w:p>
        </w:tc>
        <w:tc>
          <w:tcPr>
            <w:tcW w:type="dxa" w:w="1134"/>
          </w:tcPr>
          <w:p>
            <w:pPr>
              <w:jc w:val="center"/>
            </w:pPr>
            <w:r>
              <w:rPr>
                <w:rFonts w:ascii="Times New Roman" w:hAnsi="Times New Roman"/>
                <w:sz w:val="20"/>
              </w:rPr>
              <w:t>2.00×</w:t>
            </w:r>
          </w:p>
        </w:tc>
      </w:tr>
      <w:tr>
        <w:tc>
          <w:tcPr>
            <w:tcW w:type="dxa" w:w="1984"/>
          </w:tcPr>
          <w:p>
            <w:pPr>
              <w:jc w:val="left"/>
            </w:pPr>
            <w:r>
              <w:rPr>
                <w:rFonts w:ascii="Times New Roman" w:hAnsi="Times New Roman"/>
                <w:sz w:val="20"/>
              </w:rPr>
              <w:t>Cobre</w:t>
            </w:r>
          </w:p>
        </w:tc>
        <w:tc>
          <w:tcPr>
            <w:tcW w:type="dxa" w:w="567"/>
          </w:tcPr>
          <w:p>
            <w:pPr>
              <w:jc w:val="center"/>
            </w:pPr>
            <w:r>
              <w:rPr>
                <w:rFonts w:ascii="Times New Roman" w:hAnsi="Times New Roman"/>
                <w:sz w:val="20"/>
              </w:rPr>
              <w:t>0.70</w:t>
            </w:r>
          </w:p>
        </w:tc>
        <w:tc>
          <w:tcPr>
            <w:tcW w:type="dxa" w:w="4252"/>
          </w:tcPr>
          <w:p>
            <w:pPr>
              <w:jc w:val="center"/>
            </w:pPr>
            <w:r>
              <w:rPr>
                <w:rFonts w:ascii="Times New Roman" w:hAnsi="Times New Roman"/>
                <w:sz w:val="20"/>
              </w:rPr>
              <w:t>Recurso geológico; reciclaje parcial pero oferta a largo plazo inelástica</w:t>
            </w:r>
          </w:p>
        </w:tc>
        <w:tc>
          <w:tcPr>
            <w:tcW w:type="dxa" w:w="1134"/>
          </w:tcPr>
          <w:p>
            <w:pPr>
              <w:jc w:val="center"/>
            </w:pPr>
            <w:r>
              <w:rPr>
                <w:rFonts w:ascii="Times New Roman" w:hAnsi="Times New Roman"/>
                <w:sz w:val="20"/>
              </w:rPr>
              <w:t>1.70×</w:t>
            </w:r>
          </w:p>
        </w:tc>
      </w:tr>
      <w:tr>
        <w:tc>
          <w:tcPr>
            <w:tcW w:type="dxa" w:w="1984"/>
          </w:tcPr>
          <w:p>
            <w:pPr>
              <w:jc w:val="left"/>
            </w:pPr>
            <w:r>
              <w:rPr>
                <w:rFonts w:ascii="Times New Roman" w:hAnsi="Times New Roman"/>
                <w:sz w:val="20"/>
              </w:rPr>
              <w:t>Uranio</w:t>
            </w:r>
          </w:p>
        </w:tc>
        <w:tc>
          <w:tcPr>
            <w:tcW w:type="dxa" w:w="567"/>
          </w:tcPr>
          <w:p>
            <w:pPr>
              <w:jc w:val="center"/>
            </w:pPr>
            <w:r>
              <w:rPr>
                <w:rFonts w:ascii="Times New Roman" w:hAnsi="Times New Roman"/>
                <w:sz w:val="20"/>
              </w:rPr>
              <w:t>0.75</w:t>
            </w:r>
          </w:p>
        </w:tc>
        <w:tc>
          <w:tcPr>
            <w:tcW w:type="dxa" w:w="4252"/>
          </w:tcPr>
          <w:p>
            <w:pPr>
              <w:jc w:val="center"/>
            </w:pPr>
            <w:r>
              <w:rPr>
                <w:rFonts w:ascii="Times New Roman" w:hAnsi="Times New Roman"/>
                <w:sz w:val="20"/>
              </w:rPr>
              <w:t>Escasez geológica + regulación + ciclo minero de 10-15 años</w:t>
            </w:r>
          </w:p>
        </w:tc>
        <w:tc>
          <w:tcPr>
            <w:tcW w:type="dxa" w:w="1134"/>
          </w:tcPr>
          <w:p>
            <w:pPr>
              <w:jc w:val="center"/>
            </w:pPr>
            <w:r>
              <w:rPr>
                <w:rFonts w:ascii="Times New Roman" w:hAnsi="Times New Roman"/>
                <w:sz w:val="20"/>
              </w:rPr>
              <w:t>1.75×</w:t>
            </w:r>
          </w:p>
        </w:tc>
      </w:tr>
      <w:tr>
        <w:tc>
          <w:tcPr>
            <w:tcW w:type="dxa" w:w="1984"/>
          </w:tcPr>
          <w:p>
            <w:pPr>
              <w:jc w:val="left"/>
            </w:pPr>
            <w:r>
              <w:rPr>
                <w:rFonts w:ascii="Times New Roman" w:hAnsi="Times New Roman"/>
                <w:sz w:val="20"/>
              </w:rPr>
              <w:t>Energía / Grid</w:t>
            </w:r>
          </w:p>
        </w:tc>
        <w:tc>
          <w:tcPr>
            <w:tcW w:type="dxa" w:w="567"/>
          </w:tcPr>
          <w:p>
            <w:pPr>
              <w:jc w:val="center"/>
            </w:pPr>
            <w:r>
              <w:rPr>
                <w:rFonts w:ascii="Times New Roman" w:hAnsi="Times New Roman"/>
                <w:sz w:val="20"/>
              </w:rPr>
              <w:t>0.65</w:t>
            </w:r>
          </w:p>
        </w:tc>
        <w:tc>
          <w:tcPr>
            <w:tcW w:type="dxa" w:w="4252"/>
          </w:tcPr>
          <w:p>
            <w:pPr>
              <w:jc w:val="center"/>
            </w:pPr>
            <w:r>
              <w:rPr>
                <w:rFonts w:ascii="Times New Roman" w:hAnsi="Times New Roman"/>
                <w:sz w:val="20"/>
              </w:rPr>
              <w:t>Infraestructura física; escala pero no se puede "imprimir" capacidad</w:t>
            </w:r>
          </w:p>
        </w:tc>
        <w:tc>
          <w:tcPr>
            <w:tcW w:type="dxa" w:w="1134"/>
          </w:tcPr>
          <w:p>
            <w:pPr>
              <w:jc w:val="center"/>
            </w:pPr>
            <w:r>
              <w:rPr>
                <w:rFonts w:ascii="Times New Roman" w:hAnsi="Times New Roman"/>
                <w:sz w:val="20"/>
              </w:rPr>
              <w:t>1.65×</w:t>
            </w:r>
          </w:p>
        </w:tc>
      </w:tr>
      <w:tr>
        <w:tc>
          <w:tcPr>
            <w:tcW w:type="dxa" w:w="1984"/>
          </w:tcPr>
          <w:p>
            <w:pPr>
              <w:jc w:val="left"/>
            </w:pPr>
            <w:r>
              <w:rPr>
                <w:rFonts w:ascii="Times New Roman" w:hAnsi="Times New Roman"/>
                <w:sz w:val="20"/>
              </w:rPr>
              <w:t>Tecnología / AI</w:t>
            </w:r>
          </w:p>
        </w:tc>
        <w:tc>
          <w:tcPr>
            <w:tcW w:type="dxa" w:w="567"/>
          </w:tcPr>
          <w:p>
            <w:pPr>
              <w:jc w:val="center"/>
            </w:pPr>
            <w:r>
              <w:rPr>
                <w:rFonts w:ascii="Times New Roman" w:hAnsi="Times New Roman"/>
                <w:sz w:val="20"/>
              </w:rPr>
              <w:t>0.45</w:t>
            </w:r>
          </w:p>
        </w:tc>
        <w:tc>
          <w:tcPr>
            <w:tcW w:type="dxa" w:w="4252"/>
          </w:tcPr>
          <w:p>
            <w:pPr>
              <w:jc w:val="center"/>
            </w:pPr>
            <w:r>
              <w:rPr>
                <w:rFonts w:ascii="Times New Roman" w:hAnsi="Times New Roman"/>
                <w:sz w:val="20"/>
              </w:rPr>
              <w:t>Software replicable pero hardware + talento tienen fricción</w:t>
            </w:r>
          </w:p>
        </w:tc>
        <w:tc>
          <w:tcPr>
            <w:tcW w:type="dxa" w:w="1134"/>
          </w:tcPr>
          <w:p>
            <w:pPr>
              <w:jc w:val="center"/>
            </w:pPr>
            <w:r>
              <w:rPr>
                <w:rFonts w:ascii="Times New Roman" w:hAnsi="Times New Roman"/>
                <w:sz w:val="20"/>
              </w:rPr>
              <w:t>1.45×</w:t>
            </w:r>
          </w:p>
        </w:tc>
      </w:tr>
      <w:tr>
        <w:tc>
          <w:tcPr>
            <w:tcW w:type="dxa" w:w="1984"/>
          </w:tcPr>
          <w:p>
            <w:pPr>
              <w:jc w:val="left"/>
            </w:pPr>
            <w:r>
              <w:rPr>
                <w:rFonts w:ascii="Times New Roman" w:hAnsi="Times New Roman"/>
                <w:sz w:val="20"/>
              </w:rPr>
              <w:t>Renta Variable</w:t>
            </w:r>
          </w:p>
        </w:tc>
        <w:tc>
          <w:tcPr>
            <w:tcW w:type="dxa" w:w="567"/>
          </w:tcPr>
          <w:p>
            <w:pPr>
              <w:jc w:val="center"/>
            </w:pPr>
            <w:r>
              <w:rPr>
                <w:rFonts w:ascii="Times New Roman" w:hAnsi="Times New Roman"/>
                <w:sz w:val="20"/>
              </w:rPr>
              <w:t>0.20</w:t>
            </w:r>
          </w:p>
        </w:tc>
        <w:tc>
          <w:tcPr>
            <w:tcW w:type="dxa" w:w="4252"/>
          </w:tcPr>
          <w:p>
            <w:pPr>
              <w:jc w:val="center"/>
            </w:pPr>
            <w:r>
              <w:rPr>
                <w:rFonts w:ascii="Times New Roman" w:hAnsi="Times New Roman"/>
                <w:sz w:val="20"/>
              </w:rPr>
              <w:t>Beta mercado; incluye sectores replicables y escasos mezclados</w:t>
            </w:r>
          </w:p>
        </w:tc>
        <w:tc>
          <w:tcPr>
            <w:tcW w:type="dxa" w:w="1134"/>
          </w:tcPr>
          <w:p>
            <w:pPr>
              <w:jc w:val="center"/>
            </w:pPr>
            <w:r>
              <w:rPr>
                <w:rFonts w:ascii="Times New Roman" w:hAnsi="Times New Roman"/>
                <w:sz w:val="20"/>
              </w:rPr>
              <w:t>1.20×</w:t>
            </w:r>
          </w:p>
        </w:tc>
      </w:tr>
    </w:tbl>
    <w:p/>
    <w:p>
      <w:pPr>
        <w:spacing w:before="0" w:after="80"/>
        <w:ind w:left="567"/>
        <w:jc w:val="both"/>
      </w:pPr>
      <w:r>
        <w:rPr>
          <w:rFonts w:ascii="Times New Roman" w:hAnsi="Times New Roman"/>
          <w:i/>
          <w:sz w:val="18"/>
        </w:rPr>
        <w:t>Tabla 3. Coeficientes de escasez estimados por categoría. Los valores son proxy cualitativos; la calibración empírica requeriría análisis de correlación con índices de costes de producción sectoriales.</w:t>
      </w:r>
    </w:p>
    <w:p>
      <w:r>
        <w:br w:type="page"/>
      </w:r>
    </w:p>
    <w:p>
      <w:pPr>
        <w:pStyle w:val="Heading1"/>
      </w:pPr>
      <w:r>
        <w:t>4. Impacto en el Ecosistema Empresarial</w:t>
      </w:r>
    </w:p>
    <w:p>
      <w:pPr>
        <w:pStyle w:val="Heading2"/>
      </w:pPr>
      <w:r>
        <w:t>4.1 La taxonomía replicable vs. escaso</w:t>
      </w:r>
    </w:p>
    <w:p>
      <w:pPr>
        <w:spacing w:before="0" w:after="120"/>
        <w:jc w:val="both"/>
      </w:pPr>
      <w:r>
        <w:rPr>
          <w:b w:val="0"/>
          <w:i w:val="0"/>
        </w:rPr>
        <w:t>El colapso del coste de manufactura no afecta por igual a todos los sectores de la economía. La variable determinante no es el tamaño de la empresa ni su sector GICS, sino una propiedad más fundamental: la replicabilidad de su producto o servicio.</w:t>
      </w:r>
    </w:p>
    <w:p>
      <w:pPr>
        <w:spacing w:before="0" w:after="120"/>
        <w:jc w:val="both"/>
      </w:pPr>
      <w:r>
        <w:rPr>
          <w:b w:val="0"/>
          <w:i w:val="0"/>
        </w:rPr>
        <w:t>Definimos la replicabilidad ρ de un sector como la fracción de su cadena de valor susceptible de ser reproducida por un sistema robótico autofabricante a coste marginal tendente a cero. La Tabla 4 presenta el análisis por sector:</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2154"/>
            <w:shd w:val="clear" w:color="auto" w:fill="E8E8E8"/>
          </w:tcPr>
          <w:p>
            <w:pPr>
              <w:jc w:val="left"/>
            </w:pPr>
            <w:r>
              <w:rPr>
                <w:rFonts w:ascii="Times New Roman" w:hAnsi="Times New Roman"/>
                <w:b/>
                <w:sz w:val="20"/>
              </w:rPr>
              <w:t>Sector</w:t>
            </w:r>
          </w:p>
        </w:tc>
        <w:tc>
          <w:tcPr>
            <w:tcW w:type="dxa" w:w="1361"/>
            <w:shd w:val="clear" w:color="auto" w:fill="E8E8E8"/>
          </w:tcPr>
          <w:p>
            <w:pPr>
              <w:jc w:val="center"/>
            </w:pPr>
            <w:r>
              <w:rPr>
                <w:rFonts w:ascii="Times New Roman" w:hAnsi="Times New Roman"/>
                <w:b/>
                <w:sz w:val="20"/>
              </w:rPr>
              <w:t>ρ (replicabilidad)</w:t>
            </w:r>
          </w:p>
        </w:tc>
        <w:tc>
          <w:tcPr>
            <w:tcW w:type="dxa" w:w="2041"/>
            <w:shd w:val="clear" w:color="auto" w:fill="E8E8E8"/>
          </w:tcPr>
          <w:p>
            <w:pPr>
              <w:jc w:val="center"/>
            </w:pPr>
            <w:r>
              <w:rPr>
                <w:rFonts w:ascii="Times New Roman" w:hAnsi="Times New Roman"/>
                <w:b/>
                <w:sz w:val="20"/>
              </w:rPr>
              <w:t>Impacto autofabricación</w:t>
            </w:r>
          </w:p>
        </w:tc>
        <w:tc>
          <w:tcPr>
            <w:tcW w:type="dxa" w:w="1361"/>
            <w:shd w:val="clear" w:color="auto" w:fill="E8E8E8"/>
          </w:tcPr>
          <w:p>
            <w:pPr>
              <w:jc w:val="center"/>
            </w:pPr>
            <w:r>
              <w:rPr>
                <w:rFonts w:ascii="Times New Roman" w:hAnsi="Times New Roman"/>
                <w:b/>
                <w:sz w:val="20"/>
              </w:rPr>
              <w:t>Dirección márgenes</w:t>
            </w:r>
          </w:p>
        </w:tc>
        <w:tc>
          <w:tcPr>
            <w:tcW w:type="dxa" w:w="1587"/>
            <w:shd w:val="clear" w:color="auto" w:fill="E8E8E8"/>
          </w:tcPr>
          <w:p>
            <w:pPr>
              <w:jc w:val="center"/>
            </w:pPr>
            <w:r>
              <w:rPr>
                <w:rFonts w:ascii="Times New Roman" w:hAnsi="Times New Roman"/>
                <w:b/>
                <w:sz w:val="20"/>
              </w:rPr>
              <w:t>Posición cartera</w:t>
            </w: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2154"/>
          </w:tcPr>
          <w:p>
            <w:pPr>
              <w:jc w:val="left"/>
            </w:pPr>
            <w:r>
              <w:rPr>
                <w:rFonts w:ascii="Times New Roman" w:hAnsi="Times New Roman"/>
                <w:sz w:val="20"/>
              </w:rPr>
              <w:t>Manufactura estándar</w:t>
            </w:r>
          </w:p>
        </w:tc>
        <w:tc>
          <w:tcPr>
            <w:tcW w:type="dxa" w:w="1361"/>
          </w:tcPr>
          <w:p>
            <w:pPr>
              <w:jc w:val="center"/>
            </w:pPr>
            <w:r>
              <w:rPr>
                <w:rFonts w:ascii="Times New Roman" w:hAnsi="Times New Roman"/>
                <w:sz w:val="20"/>
              </w:rPr>
              <w:t>Muy alta (&gt;0.85)</w:t>
            </w:r>
          </w:p>
        </w:tc>
        <w:tc>
          <w:tcPr>
            <w:tcW w:type="dxa" w:w="2041"/>
          </w:tcPr>
          <w:p>
            <w:pPr>
              <w:jc w:val="center"/>
            </w:pPr>
            <w:r>
              <w:rPr>
                <w:rFonts w:ascii="Times New Roman" w:hAnsi="Times New Roman"/>
                <w:sz w:val="20"/>
              </w:rPr>
              <w:t>Colapso de márgenes</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Sin exposición</w:t>
            </w:r>
          </w:p>
        </w:tc>
      </w:tr>
      <w:tr>
        <w:tc>
          <w:tcPr>
            <w:tcW w:type="dxa" w:w="2154"/>
          </w:tcPr>
          <w:p>
            <w:pPr>
              <w:jc w:val="left"/>
            </w:pPr>
            <w:r>
              <w:rPr>
                <w:rFonts w:ascii="Times New Roman" w:hAnsi="Times New Roman"/>
                <w:sz w:val="20"/>
              </w:rPr>
              <w:t>Logística / distribución</w:t>
            </w:r>
          </w:p>
        </w:tc>
        <w:tc>
          <w:tcPr>
            <w:tcW w:type="dxa" w:w="1361"/>
          </w:tcPr>
          <w:p>
            <w:pPr>
              <w:jc w:val="center"/>
            </w:pPr>
            <w:r>
              <w:rPr>
                <w:rFonts w:ascii="Times New Roman" w:hAnsi="Times New Roman"/>
                <w:sz w:val="20"/>
              </w:rPr>
              <w:t>Alta (0.70)</w:t>
            </w:r>
          </w:p>
        </w:tc>
        <w:tc>
          <w:tcPr>
            <w:tcW w:type="dxa" w:w="2041"/>
          </w:tcPr>
          <w:p>
            <w:pPr>
              <w:jc w:val="center"/>
            </w:pPr>
            <w:r>
              <w:rPr>
                <w:rFonts w:ascii="Times New Roman" w:hAnsi="Times New Roman"/>
                <w:sz w:val="20"/>
              </w:rPr>
              <w:t>Desintermediación severa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Sin exposición</w:t>
            </w:r>
          </w:p>
        </w:tc>
      </w:tr>
      <w:tr>
        <w:tc>
          <w:tcPr>
            <w:tcW w:type="dxa" w:w="2154"/>
          </w:tcPr>
          <w:p>
            <w:pPr>
              <w:jc w:val="left"/>
            </w:pPr>
            <w:r>
              <w:rPr>
                <w:rFonts w:ascii="Times New Roman" w:hAnsi="Times New Roman"/>
                <w:sz w:val="20"/>
              </w:rPr>
              <w:t>Construcción</w:t>
            </w:r>
          </w:p>
        </w:tc>
        <w:tc>
          <w:tcPr>
            <w:tcW w:type="dxa" w:w="1361"/>
          </w:tcPr>
          <w:p>
            <w:pPr>
              <w:jc w:val="center"/>
            </w:pPr>
            <w:r>
              <w:rPr>
                <w:rFonts w:ascii="Times New Roman" w:hAnsi="Times New Roman"/>
                <w:sz w:val="20"/>
              </w:rPr>
              <w:t>Alta (0.65)</w:t>
            </w:r>
          </w:p>
        </w:tc>
        <w:tc>
          <w:tcPr>
            <w:tcW w:type="dxa" w:w="2041"/>
          </w:tcPr>
          <w:p>
            <w:pPr>
              <w:jc w:val="center"/>
            </w:pPr>
            <w:r>
              <w:rPr>
                <w:rFonts w:ascii="Times New Roman" w:hAnsi="Times New Roman"/>
                <w:sz w:val="20"/>
              </w:rPr>
              <w:t>Robotización acelerada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Sin exposición</w:t>
            </w:r>
          </w:p>
        </w:tc>
      </w:tr>
      <w:tr>
        <w:tc>
          <w:tcPr>
            <w:tcW w:type="dxa" w:w="2154"/>
          </w:tcPr>
          <w:p>
            <w:pPr>
              <w:jc w:val="left"/>
            </w:pPr>
            <w:r>
              <w:rPr>
                <w:rFonts w:ascii="Times New Roman" w:hAnsi="Times New Roman"/>
                <w:sz w:val="20"/>
              </w:rPr>
              <w:t>Software / datos / AI</w:t>
            </w:r>
          </w:p>
        </w:tc>
        <w:tc>
          <w:tcPr>
            <w:tcW w:type="dxa" w:w="1361"/>
          </w:tcPr>
          <w:p>
            <w:pPr>
              <w:jc w:val="center"/>
            </w:pPr>
            <w:r>
              <w:rPr>
                <w:rFonts w:ascii="Times New Roman" w:hAnsi="Times New Roman"/>
                <w:sz w:val="20"/>
              </w:rPr>
              <w:t>Media (0.45)</w:t>
            </w:r>
          </w:p>
        </w:tc>
        <w:tc>
          <w:tcPr>
            <w:tcW w:type="dxa" w:w="2041"/>
          </w:tcPr>
          <w:p>
            <w:pPr>
              <w:jc w:val="center"/>
            </w:pPr>
            <w:r>
              <w:rPr>
                <w:rFonts w:ascii="Times New Roman" w:hAnsi="Times New Roman"/>
                <w:sz w:val="20"/>
              </w:rPr>
              <w:t>Commodity parcial</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AI &amp; Big Data ETF</w:t>
            </w:r>
          </w:p>
        </w:tc>
      </w:tr>
      <w:tr>
        <w:tc>
          <w:tcPr>
            <w:tcW w:type="dxa" w:w="2154"/>
          </w:tcPr>
          <w:p>
            <w:pPr>
              <w:jc w:val="left"/>
            </w:pPr>
            <w:r>
              <w:rPr>
                <w:rFonts w:ascii="Times New Roman" w:hAnsi="Times New Roman"/>
                <w:sz w:val="20"/>
              </w:rPr>
              <w:t>Computación cuántica</w:t>
            </w:r>
          </w:p>
        </w:tc>
        <w:tc>
          <w:tcPr>
            <w:tcW w:type="dxa" w:w="1361"/>
          </w:tcPr>
          <w:p>
            <w:pPr>
              <w:jc w:val="center"/>
            </w:pPr>
            <w:r>
              <w:rPr>
                <w:rFonts w:ascii="Times New Roman" w:hAnsi="Times New Roman"/>
                <w:sz w:val="20"/>
              </w:rPr>
              <w:t>Baja (0.25)</w:t>
            </w:r>
          </w:p>
        </w:tc>
        <w:tc>
          <w:tcPr>
            <w:tcW w:type="dxa" w:w="2041"/>
          </w:tcPr>
          <w:p>
            <w:pPr>
              <w:jc w:val="center"/>
            </w:pPr>
            <w:r>
              <w:rPr>
                <w:rFonts w:ascii="Times New Roman" w:hAnsi="Times New Roman"/>
                <w:sz w:val="20"/>
              </w:rPr>
              <w:t>Demanda explosiva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Quantum ETF</w:t>
            </w:r>
          </w:p>
        </w:tc>
      </w:tr>
      <w:tr>
        <w:tc>
          <w:tcPr>
            <w:tcW w:type="dxa" w:w="2154"/>
          </w:tcPr>
          <w:p>
            <w:pPr>
              <w:jc w:val="left"/>
            </w:pPr>
            <w:r>
              <w:rPr>
                <w:rFonts w:ascii="Times New Roman" w:hAnsi="Times New Roman"/>
                <w:sz w:val="20"/>
              </w:rPr>
              <w:t>Energía nuclear / uranio</w:t>
            </w:r>
          </w:p>
        </w:tc>
        <w:tc>
          <w:tcPr>
            <w:tcW w:type="dxa" w:w="1361"/>
          </w:tcPr>
          <w:p>
            <w:pPr>
              <w:jc w:val="center"/>
            </w:pPr>
            <w:r>
              <w:rPr>
                <w:rFonts w:ascii="Times New Roman" w:hAnsi="Times New Roman"/>
                <w:sz w:val="20"/>
              </w:rPr>
              <w:t>Baja (0.20)</w:t>
            </w:r>
          </w:p>
        </w:tc>
        <w:tc>
          <w:tcPr>
            <w:tcW w:type="dxa" w:w="2041"/>
          </w:tcPr>
          <w:p>
            <w:pPr>
              <w:jc w:val="center"/>
            </w:pPr>
            <w:r>
              <w:rPr>
                <w:rFonts w:ascii="Times New Roman" w:hAnsi="Times New Roman"/>
                <w:sz w:val="20"/>
              </w:rPr>
              <w:t>Demanda inelástica sube</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Uranium ETF</w:t>
            </w:r>
          </w:p>
        </w:tc>
      </w:tr>
      <w:tr>
        <w:tc>
          <w:tcPr>
            <w:tcW w:type="dxa" w:w="2154"/>
          </w:tcPr>
          <w:p>
            <w:pPr>
              <w:jc w:val="left"/>
            </w:pPr>
            <w:r>
              <w:rPr>
                <w:rFonts w:ascii="Times New Roman" w:hAnsi="Times New Roman"/>
                <w:sz w:val="20"/>
              </w:rPr>
              <w:t>Metales críticos (Cu)</w:t>
            </w:r>
          </w:p>
        </w:tc>
        <w:tc>
          <w:tcPr>
            <w:tcW w:type="dxa" w:w="1361"/>
          </w:tcPr>
          <w:p>
            <w:pPr>
              <w:jc w:val="center"/>
            </w:pPr>
            <w:r>
              <w:rPr>
                <w:rFonts w:ascii="Times New Roman" w:hAnsi="Times New Roman"/>
                <w:sz w:val="20"/>
              </w:rPr>
              <w:t>Muy baja (0.10)</w:t>
            </w:r>
          </w:p>
        </w:tc>
        <w:tc>
          <w:tcPr>
            <w:tcW w:type="dxa" w:w="2041"/>
          </w:tcPr>
          <w:p>
            <w:pPr>
              <w:jc w:val="center"/>
            </w:pPr>
            <w:r>
              <w:rPr>
                <w:rFonts w:ascii="Times New Roman" w:hAnsi="Times New Roman"/>
                <w:sz w:val="20"/>
              </w:rPr>
              <w:t>Oferta física no se replica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Cobre ETF</w:t>
            </w:r>
          </w:p>
        </w:tc>
      </w:tr>
      <w:tr>
        <w:tc>
          <w:tcPr>
            <w:tcW w:type="dxa" w:w="2154"/>
          </w:tcPr>
          <w:p>
            <w:pPr>
              <w:jc w:val="left"/>
            </w:pPr>
            <w:r>
              <w:rPr>
                <w:rFonts w:ascii="Times New Roman" w:hAnsi="Times New Roman"/>
                <w:sz w:val="20"/>
              </w:rPr>
              <w:t>Grid / infraest. eléctrica</w:t>
            </w:r>
          </w:p>
        </w:tc>
        <w:tc>
          <w:tcPr>
            <w:tcW w:type="dxa" w:w="1361"/>
          </w:tcPr>
          <w:p>
            <w:pPr>
              <w:jc w:val="center"/>
            </w:pPr>
            <w:r>
              <w:rPr>
                <w:rFonts w:ascii="Times New Roman" w:hAnsi="Times New Roman"/>
                <w:sz w:val="20"/>
              </w:rPr>
              <w:t>Baja (0.20)</w:t>
            </w:r>
          </w:p>
        </w:tc>
        <w:tc>
          <w:tcPr>
            <w:tcW w:type="dxa" w:w="2041"/>
          </w:tcPr>
          <w:p>
            <w:pPr>
              <w:jc w:val="center"/>
            </w:pPr>
            <w:r>
              <w:rPr>
                <w:rFonts w:ascii="Times New Roman" w:hAnsi="Times New Roman"/>
                <w:sz w:val="20"/>
              </w:rPr>
              <w:t>Cuello botella inexorable</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Smart Grid ETF</w:t>
            </w:r>
          </w:p>
        </w:tc>
      </w:tr>
      <w:tr>
        <w:tc>
          <w:tcPr>
            <w:tcW w:type="dxa" w:w="2154"/>
          </w:tcPr>
          <w:p>
            <w:pPr>
              <w:jc w:val="left"/>
            </w:pPr>
            <w:r>
              <w:rPr>
                <w:rFonts w:ascii="Times New Roman" w:hAnsi="Times New Roman"/>
                <w:sz w:val="20"/>
              </w:rPr>
              <w:t>Bitcoin / activos digitales</w:t>
            </w:r>
          </w:p>
        </w:tc>
        <w:tc>
          <w:tcPr>
            <w:tcW w:type="dxa" w:w="1361"/>
          </w:tcPr>
          <w:p>
            <w:pPr>
              <w:jc w:val="center"/>
            </w:pPr>
            <w:r>
              <w:rPr>
                <w:rFonts w:ascii="Times New Roman" w:hAnsi="Times New Roman"/>
                <w:sz w:val="20"/>
              </w:rPr>
              <w:t>Cero (0.00)</w:t>
            </w:r>
          </w:p>
        </w:tc>
        <w:tc>
          <w:tcPr>
            <w:tcW w:type="dxa" w:w="2041"/>
          </w:tcPr>
          <w:p>
            <w:pPr>
              <w:jc w:val="center"/>
            </w:pPr>
            <w:r>
              <w:rPr>
                <w:rFonts w:ascii="Times New Roman" w:hAnsi="Times New Roman"/>
                <w:sz w:val="20"/>
              </w:rPr>
              <w:t>Escasez absoluta programada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BTC ×4 posiciones</w:t>
            </w:r>
          </w:p>
        </w:tc>
      </w:tr>
      <w:tr>
        <w:tc>
          <w:tcPr>
            <w:tcW w:type="dxa" w:w="2154"/>
          </w:tcPr>
          <w:p>
            <w:pPr>
              <w:jc w:val="left"/>
            </w:pPr>
            <w:r>
              <w:rPr>
                <w:rFonts w:ascii="Times New Roman" w:hAnsi="Times New Roman"/>
                <w:sz w:val="20"/>
              </w:rPr>
              <w:t>Renta variable global</w:t>
            </w:r>
          </w:p>
        </w:tc>
        <w:tc>
          <w:tcPr>
            <w:tcW w:type="dxa" w:w="1361"/>
          </w:tcPr>
          <w:p>
            <w:pPr>
              <w:jc w:val="center"/>
            </w:pPr>
            <w:r>
              <w:rPr>
                <w:rFonts w:ascii="Times New Roman" w:hAnsi="Times New Roman"/>
                <w:sz w:val="20"/>
              </w:rPr>
              <w:t>Media (0.40)</w:t>
            </w:r>
          </w:p>
        </w:tc>
        <w:tc>
          <w:tcPr>
            <w:tcW w:type="dxa" w:w="2041"/>
          </w:tcPr>
          <w:p>
            <w:pPr>
              <w:jc w:val="center"/>
            </w:pPr>
            <w:r>
              <w:rPr>
                <w:rFonts w:ascii="Times New Roman" w:hAnsi="Times New Roman"/>
                <w:sz w:val="20"/>
              </w:rPr>
              <w:t>Mixto — depende de composic.</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Fondos índice</w:t>
            </w:r>
          </w:p>
        </w:tc>
      </w:tr>
    </w:tbl>
    <w:p/>
    <w:p>
      <w:pPr>
        <w:spacing w:before="0" w:after="80"/>
        <w:ind w:left="567"/>
        <w:jc w:val="both"/>
      </w:pPr>
      <w:r>
        <w:rPr>
          <w:rFonts w:ascii="Times New Roman" w:hAnsi="Times New Roman"/>
          <w:i/>
          <w:sz w:val="18"/>
        </w:rPr>
        <w:t>Tabla 4. Análisis de impacto de la autofabricación por sector. La columna "Dirección márgenes" es cualitativa: ↑ = mejora, ↓ = deterioro, ~ = neutro. "Posición cartera" indica el activo correspondiente en la cartera Escasez y Resiliencia.</w:t>
      </w:r>
    </w:p>
    <w:p>
      <w:pPr>
        <w:pStyle w:val="Heading2"/>
      </w:pPr>
      <w:r>
        <w:t>4.2 El mecanismo: presión en el ecosistema</w:t>
      </w:r>
    </w:p>
    <w:p>
      <w:pPr>
        <w:spacing w:before="0" w:after="120"/>
        <w:jc w:val="both"/>
      </w:pPr>
      <w:r>
        <w:rPr>
          <w:b w:val="0"/>
          <w:i w:val="0"/>
        </w:rPr>
        <w:t>La autofabricación robótica genera cuatro efectos de transmisión sobre el ecosistema empresarial:</w:t>
      </w:r>
    </w:p>
    <w:p>
      <w:pPr>
        <w:spacing w:before="0" w:after="120"/>
        <w:jc w:val="both"/>
      </w:pPr>
      <w:r>
        <w:rPr>
          <w:b w:val="0"/>
          <w:i w:val="0"/>
        </w:rPr>
        <w:t>Primero, compresión de márgenes en manufactura. Cualquier empresa que vende objetos físicos producibles con maquinaria general verá cómo sus competidores replicados a coste cero erosionan su poder de fijación de precios. La única defensa es la escasez del input (materias primas), la regulación, o la protección por diseño/marca (que tiene durabilidad limitada).</w:t>
      </w:r>
    </w:p>
    <w:p>
      <w:pPr>
        <w:spacing w:before="0" w:after="120"/>
        <w:jc w:val="both"/>
      </w:pPr>
      <w:r>
        <w:rPr>
          <w:b w:val="0"/>
          <w:i w:val="0"/>
        </w:rPr>
        <w:t>Segundo, explosión de la demanda de energía base. Cada robot que fabrica robots consume electricidad ininterrumpidamente. A diferencia del calor humano, que se regula solo, una flota robótica en crecimiento exponencial genera una demanda energética exponencial. Esto hace de la energía nuclear y la infraestructura de grid inteligente un cuello de botella estructural, no cíclico.</w:t>
      </w:r>
    </w:p>
    <w:p>
      <w:pPr>
        <w:spacing w:before="0" w:after="120"/>
        <w:jc w:val="both"/>
      </w:pPr>
      <w:r>
        <w:rPr>
          <w:b w:val="0"/>
          <w:i w:val="0"/>
        </w:rPr>
        <w:t>Tercero, escasez de materias primas críticas. El cobre es el material conductor universal para electrificación. Cada robot adicional requiere cobre; la aceleración de la flota robótica es directamente una aceleración de la demanda de cobre. A diferencia de la demanda de software, la oferta de cobre no puede crecer más rápido que el ciclo minero (10-15 años desde exploración hasta producción).</w:t>
      </w:r>
    </w:p>
    <w:p>
      <w:pPr>
        <w:spacing w:before="0" w:after="120"/>
        <w:jc w:val="both"/>
      </w:pPr>
      <w:r>
        <w:rPr>
          <w:b w:val="0"/>
          <w:i w:val="0"/>
        </w:rPr>
        <w:t>Cuarto, refugio programado en activos digitales. En un mundo donde la producción física tiende a coste cero, los activos cuya escasez es matemáticamente garantizada por un protocolo de consenso distribuido (Bitcoin, 21 millones de unidades, inmutables) actúan como el activo de reserva más puro posible: no puede haber más, independientemente de lo que haga cualquier robot.</w:t>
      </w:r>
    </w:p>
    <w:p>
      <w:r>
        <w:br w:type="page"/>
      </w:r>
    </w:p>
    <w:p>
      <w:pPr>
        <w:pStyle w:val="Heading1"/>
      </w:pPr>
      <w:r>
        <w:t>5. El Modelo Extendido: V_i(t) con Premio de Escasez</w:t>
      </w:r>
    </w:p>
    <w:p>
      <w:pPr>
        <w:pStyle w:val="Heading2"/>
      </w:pPr>
      <w:r>
        <w:t>5.1 Formulación completa</w:t>
      </w:r>
    </w:p>
    <w:p>
      <w:pPr>
        <w:spacing w:before="0" w:after="120"/>
        <w:jc w:val="both"/>
      </w:pPr>
      <w:r>
        <w:rPr>
          <w:b w:val="0"/>
          <w:i w:val="0"/>
        </w:rPr>
        <w:t>Integrando el modelo de olas anidadas (§2) con la dinámica de autofabricación (§3), el valor de la posición i del portfolio en el horizonte completo es:</w:t>
      </w:r>
    </w:p>
    <w:p>
      <w:pPr>
        <w:spacing w:before="120" w:after="120"/>
        <w:jc w:val="center"/>
      </w:pPr>
      <w:r>
        <w:rPr>
          <w:rFonts w:ascii="Courier New" w:hAnsi="Courier New"/>
          <w:b/>
          <w:sz w:val="22"/>
        </w:rPr>
        <w:t>V_i(t) = Capital_i × (1 + r_i)^t × [Φ_nested(t) / Φ_nested(0)] × S_i(t)</w:t>
      </w:r>
    </w:p>
    <w:p>
      <w:pPr>
        <w:spacing w:before="0" w:after="120"/>
        <w:jc w:val="both"/>
      </w:pPr>
      <w:r>
        <w:rPr>
          <w:b w:val="0"/>
          <w:i w:val="0"/>
        </w:rPr>
        <w:t>donde los cuatro factores tienen interpretación económica precisa:</w:t>
      </w:r>
    </w:p>
    <w:p>
      <w:pPr>
        <w:pStyle w:val="ListBullet"/>
        <w:spacing w:after="60"/>
        <w:ind w:left="567"/>
        <w:jc w:val="both"/>
      </w:pPr>
      <w:r>
        <w:rPr>
          <w:rFonts w:ascii="Times New Roman" w:hAnsi="Times New Roman"/>
          <w:sz w:val="22"/>
        </w:rPr>
        <w:t>Capital_i — valor invertido en la categoría i a t=0.</w:t>
      </w:r>
    </w:p>
    <w:p>
      <w:pPr>
        <w:pStyle w:val="ListBullet"/>
        <w:spacing w:after="60"/>
        <w:ind w:left="567"/>
        <w:jc w:val="both"/>
      </w:pPr>
      <w:r>
        <w:rPr>
          <w:rFonts w:ascii="Times New Roman" w:hAnsi="Times New Roman"/>
          <w:sz w:val="22"/>
        </w:rPr>
        <w:t>(1+r_i)^t — crecimiento intrínseco de la categoría (calibrado por activo: r_BTC=25%, r_IA=20%, r_Nuclear=15%, r_Metales=8%, r_RV=10%). En análisis multi-escenario, r_i se escala proporcionalmente al escenario (BASE→ACELERADO→ÓPTIMO), manteniendo las diferencias relativas entre categorías.</w:t>
      </w:r>
    </w:p>
    <w:p>
      <w:pPr>
        <w:pStyle w:val="ListBullet"/>
        <w:spacing w:after="60"/>
        <w:ind w:left="567"/>
        <w:jc w:val="both"/>
      </w:pPr>
      <w:r>
        <w:rPr>
          <w:rFonts w:ascii="Times New Roman" w:hAnsi="Times New Roman"/>
          <w:sz w:val="22"/>
        </w:rPr>
        <w:t>Φ_nested(t)/Φ_nested(0) — factor de autorreplicación tecnológica acumulado, común para todas las categorías.</w:t>
      </w:r>
    </w:p>
    <w:p>
      <w:pPr>
        <w:pStyle w:val="ListBullet"/>
        <w:spacing w:after="60"/>
        <w:ind w:left="567"/>
        <w:jc w:val="both"/>
      </w:pPr>
      <w:r>
        <w:rPr>
          <w:rFonts w:ascii="Times New Roman" w:hAnsi="Times New Roman"/>
          <w:sz w:val="22"/>
        </w:rPr>
        <w:t>S_i(t) = 1 + εᵢ · (R(t)−1)/R(t) — prima de escasez diferencial por categoría, solo activa a partir de la ola 4.</w:t>
      </w:r>
    </w:p>
    <w:p>
      <w:pPr>
        <w:spacing w:before="0" w:after="120"/>
        <w:jc w:val="both"/>
      </w:pPr>
      <w:r>
        <w:rPr>
          <w:b w:val="0"/>
          <w:i w:val="0"/>
        </w:rPr>
        <w:t>Nótese que S_i(t) = 1 para todo t &lt; t_robot (antes de la autofabricación). Con t_robot = 2027, la prima de escasez es activa desde el segundo año del horizonte de inversión. El modelo extendido colapsa al modelo del paper fundacional solo en el primer año (2026–2027). Es un modelo anidado en el sentido más literal: el paper anterior es el caso límite para t &lt; 1.</w:t>
      </w:r>
    </w:p>
    <w:p>
      <w:pPr>
        <w:pStyle w:val="Heading2"/>
      </w:pPr>
      <w:r>
        <w:t>5.2 Comparación de modelos</w:t>
      </w:r>
    </w:p>
    <w:p>
      <w:pPr>
        <w:spacing w:before="0" w:after="120"/>
        <w:jc w:val="both"/>
      </w:pPr>
      <w:r>
        <w:rPr>
          <w:b w:val="0"/>
          <w:i w:val="0"/>
        </w:rPr>
        <w:t>La Tabla 5 presenta la jerarquía de modelos de esta familia, desde el más simple al más completo:</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984"/>
            <w:shd w:val="clear" w:color="auto" w:fill="E8E8E8"/>
          </w:tcPr>
          <w:p>
            <w:pPr>
              <w:jc w:val="left"/>
            </w:pPr>
            <w:r>
              <w:rPr>
                <w:rFonts w:ascii="Times New Roman" w:hAnsi="Times New Roman"/>
                <w:b/>
                <w:sz w:val="20"/>
              </w:rPr>
              <w:t>Modelo</w:t>
            </w:r>
          </w:p>
        </w:tc>
        <w:tc>
          <w:tcPr>
            <w:tcW w:type="dxa" w:w="2835"/>
            <w:shd w:val="clear" w:color="auto" w:fill="E8E8E8"/>
          </w:tcPr>
          <w:p>
            <w:pPr>
              <w:jc w:val="center"/>
            </w:pPr>
            <w:r>
              <w:rPr>
                <w:rFonts w:ascii="Times New Roman" w:hAnsi="Times New Roman"/>
                <w:b/>
                <w:sz w:val="20"/>
              </w:rPr>
              <w:t>Fórmula Φ(t)</w:t>
            </w:r>
          </w:p>
        </w:tc>
        <w:tc>
          <w:tcPr>
            <w:tcW w:type="dxa" w:w="1701"/>
            <w:shd w:val="clear" w:color="auto" w:fill="E8E8E8"/>
          </w:tcPr>
          <w:p>
            <w:pPr>
              <w:jc w:val="center"/>
            </w:pPr>
            <w:r>
              <w:rPr>
                <w:rFonts w:ascii="Times New Roman" w:hAnsi="Times New Roman"/>
                <w:b/>
                <w:sz w:val="20"/>
              </w:rPr>
              <w:t>Parámetros</w:t>
            </w:r>
          </w:p>
        </w:tc>
        <w:tc>
          <w:tcPr>
            <w:tcW w:type="dxa" w:w="1417"/>
            <w:shd w:val="clear" w:color="auto" w:fill="E8E8E8"/>
          </w:tcPr>
          <w:p>
            <w:pPr>
              <w:jc w:val="center"/>
            </w:pPr>
            <w:r>
              <w:rPr>
                <w:rFonts w:ascii="Times New Roman" w:hAnsi="Times New Roman"/>
                <w:b/>
                <w:sz w:val="20"/>
              </w:rPr>
              <w:t>Horizonte válido</w:t>
            </w:r>
          </w:p>
        </w:tc>
        <w:tc>
          <w:tcPr>
            <w:tcW w:type="dxa" w:w="1134"/>
            <w:shd w:val="clear" w:color="auto" w:fill="E8E8E8"/>
          </w:tcPr>
          <w:p>
            <w:pPr>
              <w:jc w:val="center"/>
            </w:pPr>
            <w:r>
              <w:rPr>
                <w:rFonts w:ascii="Times New Roman" w:hAnsi="Times New Roman"/>
                <w:b/>
                <w:sz w:val="20"/>
              </w:rPr>
              <w:t>Fuente</w:t>
            </w: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984"/>
          </w:tcPr>
          <w:p>
            <w:pPr>
              <w:jc w:val="left"/>
            </w:pPr>
            <w:r>
              <w:rPr>
                <w:rFonts w:ascii="Times New Roman" w:hAnsi="Times New Roman"/>
                <w:sz w:val="20"/>
              </w:rPr>
              <w:t>Base (paper v1)</w:t>
            </w:r>
          </w:p>
        </w:tc>
        <w:tc>
          <w:tcPr>
            <w:tcW w:type="dxa" w:w="2835"/>
          </w:tcPr>
          <w:p>
            <w:pPr>
              <w:jc w:val="center"/>
            </w:pPr>
            <w:r>
              <w:rPr>
                <w:rFonts w:ascii="Times New Roman" w:hAnsi="Times New Roman"/>
                <w:sz w:val="20"/>
              </w:rPr>
              <w:t>Φ_L(t) / Φ_L(0)  — logística simple</w:t>
            </w:r>
          </w:p>
        </w:tc>
        <w:tc>
          <w:tcPr>
            <w:tcW w:type="dxa" w:w="1701"/>
          </w:tcPr>
          <w:p>
            <w:pPr>
              <w:jc w:val="center"/>
            </w:pPr>
            <w:r>
              <w:rPr>
                <w:rFonts w:ascii="Times New Roman" w:hAnsi="Times New Roman"/>
                <w:sz w:val="20"/>
              </w:rPr>
              <w:t>K, γ, t₀</w:t>
            </w:r>
          </w:p>
        </w:tc>
        <w:tc>
          <w:tcPr>
            <w:tcW w:type="dxa" w:w="1417"/>
          </w:tcPr>
          <w:p>
            <w:pPr>
              <w:jc w:val="center"/>
            </w:pPr>
            <w:r>
              <w:rPr>
                <w:rFonts w:ascii="Times New Roman" w:hAnsi="Times New Roman"/>
                <w:sz w:val="20"/>
              </w:rPr>
              <w:t>2024–2030</w:t>
            </w:r>
          </w:p>
        </w:tc>
        <w:tc>
          <w:tcPr>
            <w:tcW w:type="dxa" w:w="1134"/>
          </w:tcPr>
          <w:p>
            <w:pPr>
              <w:jc w:val="center"/>
            </w:pPr>
            <w:r>
              <w:rPr>
                <w:rFonts w:ascii="Times New Roman" w:hAnsi="Times New Roman"/>
                <w:sz w:val="20"/>
              </w:rPr>
              <w:t>Vilar (2026a)</w:t>
            </w:r>
          </w:p>
        </w:tc>
      </w:tr>
      <w:tr>
        <w:tc>
          <w:tcPr>
            <w:tcW w:type="dxa" w:w="1984"/>
          </w:tcPr>
          <w:p>
            <w:pPr>
              <w:jc w:val="left"/>
            </w:pPr>
            <w:r>
              <w:rPr>
                <w:rFonts w:ascii="Times New Roman" w:hAnsi="Times New Roman"/>
                <w:sz w:val="20"/>
              </w:rPr>
              <w:t>Anidado (este paper)</w:t>
            </w:r>
          </w:p>
        </w:tc>
        <w:tc>
          <w:tcPr>
            <w:tcW w:type="dxa" w:w="2835"/>
          </w:tcPr>
          <w:p>
            <w:pPr>
              <w:jc w:val="center"/>
            </w:pPr>
            <w:r>
              <w:rPr>
                <w:rFonts w:ascii="Times New Roman" w:hAnsi="Times New Roman"/>
                <w:sz w:val="20"/>
              </w:rPr>
              <w:t>Φ_nested(t) / Φ_nested(0)  — 4 olas</w:t>
            </w:r>
          </w:p>
        </w:tc>
        <w:tc>
          <w:tcPr>
            <w:tcW w:type="dxa" w:w="1701"/>
          </w:tcPr>
          <w:p>
            <w:pPr>
              <w:jc w:val="center"/>
            </w:pPr>
            <w:r>
              <w:rPr>
                <w:rFonts w:ascii="Times New Roman" w:hAnsi="Times New Roman"/>
                <w:sz w:val="20"/>
              </w:rPr>
              <w:t>4×{Kᵢ, γᵢ, t₀ᵢ}</w:t>
            </w:r>
          </w:p>
        </w:tc>
        <w:tc>
          <w:tcPr>
            <w:tcW w:type="dxa" w:w="1417"/>
          </w:tcPr>
          <w:p>
            <w:pPr>
              <w:jc w:val="center"/>
            </w:pPr>
            <w:r>
              <w:rPr>
                <w:rFonts w:ascii="Times New Roman" w:hAnsi="Times New Roman"/>
                <w:sz w:val="20"/>
              </w:rPr>
              <w:t>2026–2038</w:t>
            </w:r>
          </w:p>
        </w:tc>
        <w:tc>
          <w:tcPr>
            <w:tcW w:type="dxa" w:w="1134"/>
          </w:tcPr>
          <w:p>
            <w:pPr>
              <w:jc w:val="center"/>
            </w:pPr>
            <w:r>
              <w:rPr>
                <w:rFonts w:ascii="Times New Roman" w:hAnsi="Times New Roman"/>
                <w:sz w:val="20"/>
              </w:rPr>
              <w:t>Vilar (2026b)</w:t>
            </w:r>
          </w:p>
        </w:tc>
      </w:tr>
      <w:tr>
        <w:tc>
          <w:tcPr>
            <w:tcW w:type="dxa" w:w="1984"/>
          </w:tcPr>
          <w:p>
            <w:pPr>
              <w:jc w:val="left"/>
            </w:pPr>
            <w:r>
              <w:rPr>
                <w:rFonts w:ascii="Times New Roman" w:hAnsi="Times New Roman"/>
                <w:sz w:val="20"/>
              </w:rPr>
              <w:t>Extendido completo</w:t>
            </w:r>
          </w:p>
        </w:tc>
        <w:tc>
          <w:tcPr>
            <w:tcW w:type="dxa" w:w="2835"/>
          </w:tcPr>
          <w:p>
            <w:pPr>
              <w:jc w:val="center"/>
            </w:pPr>
            <w:r>
              <w:rPr>
                <w:rFonts w:ascii="Times New Roman" w:hAnsi="Times New Roman"/>
                <w:sz w:val="20"/>
              </w:rPr>
              <w:t>Φ_nested(t)/Φ_nested(0) × S_i(t)</w:t>
            </w:r>
          </w:p>
        </w:tc>
        <w:tc>
          <w:tcPr>
            <w:tcW w:type="dxa" w:w="1701"/>
          </w:tcPr>
          <w:p>
            <w:pPr>
              <w:jc w:val="center"/>
            </w:pPr>
            <w:r>
              <w:rPr>
                <w:rFonts w:ascii="Times New Roman" w:hAnsi="Times New Roman"/>
                <w:sz w:val="20"/>
              </w:rPr>
              <w:t>+{η, α_R, εᵢ}</w:t>
            </w:r>
          </w:p>
        </w:tc>
        <w:tc>
          <w:tcPr>
            <w:tcW w:type="dxa" w:w="1417"/>
          </w:tcPr>
          <w:p>
            <w:pPr>
              <w:jc w:val="center"/>
            </w:pPr>
            <w:r>
              <w:rPr>
                <w:rFonts w:ascii="Times New Roman" w:hAnsi="Times New Roman"/>
                <w:sz w:val="20"/>
              </w:rPr>
              <w:t>2024–2040</w:t>
            </w:r>
          </w:p>
        </w:tc>
        <w:tc>
          <w:tcPr>
            <w:tcW w:type="dxa" w:w="1134"/>
          </w:tcPr>
          <w:p>
            <w:pPr>
              <w:jc w:val="center"/>
            </w:pPr>
            <w:r>
              <w:rPr>
                <w:rFonts w:ascii="Times New Roman" w:hAnsi="Times New Roman"/>
                <w:sz w:val="20"/>
              </w:rPr>
              <w:t>Vilar (2026b)</w:t>
            </w:r>
          </w:p>
        </w:tc>
      </w:tr>
    </w:tbl>
    <w:p/>
    <w:p>
      <w:pPr>
        <w:pStyle w:val="Heading2"/>
      </w:pPr>
      <w:r>
        <w:t>5.3 Proyecciones comparativas</w:t>
      </w:r>
    </w:p>
    <w:p>
      <w:pPr>
        <w:spacing w:before="0" w:after="120"/>
        <w:jc w:val="both"/>
      </w:pPr>
      <w:r>
        <w:rPr>
          <w:b w:val="0"/>
          <w:i w:val="0"/>
        </w:rPr>
        <w:t>La Tabla 6 muestra las proyecciones de valor del portfolio completo bajo los tres modelos, sobre una base de €100.000 con asignación ilustrativa (BTC 40%, RV 20%, IA 15%, Nuclear 10%, Metales 8%, Quantum 4%, Grid 3%; r ponderado ≈ 19%). Todos los modelos parten del mismo capital en t=0. Los escenarios usan r_i por activo escalado al escenario BASE (r_BTC = 25%, r_IA = 20%, r_Nuclear = 15%, r_Metales = 8%, r_RV = 10%):</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417"/>
            <w:shd w:val="clear" w:color="auto" w:fill="E8E8E8"/>
          </w:tcPr>
          <w:p>
            <w:pPr>
              <w:jc w:val="left"/>
            </w:pPr>
            <w:r>
              <w:rPr>
                <w:rFonts w:ascii="Times New Roman" w:hAnsi="Times New Roman"/>
                <w:b/>
                <w:sz w:val="20"/>
              </w:rPr>
              <w:t>Año</w:t>
            </w:r>
          </w:p>
        </w:tc>
        <w:tc>
          <w:tcPr>
            <w:tcW w:type="dxa" w:w="1814"/>
            <w:shd w:val="clear" w:color="auto" w:fill="E8E8E8"/>
          </w:tcPr>
          <w:p>
            <w:pPr>
              <w:jc w:val="center"/>
            </w:pPr>
            <w:r>
              <w:rPr>
                <w:rFonts w:ascii="Times New Roman" w:hAnsi="Times New Roman"/>
                <w:b/>
                <w:sz w:val="20"/>
              </w:rPr>
              <w:t>Simple logístico (v1)</w:t>
            </w:r>
          </w:p>
        </w:tc>
        <w:tc>
          <w:tcPr>
            <w:tcW w:type="dxa" w:w="1701"/>
            <w:shd w:val="clear" w:color="auto" w:fill="E8E8E8"/>
          </w:tcPr>
          <w:p>
            <w:pPr>
              <w:jc w:val="center"/>
            </w:pPr>
            <w:r>
              <w:rPr>
                <w:rFonts w:ascii="Times New Roman" w:hAnsi="Times New Roman"/>
                <w:b/>
                <w:sz w:val="20"/>
              </w:rPr>
              <w:t>Anidado (Φ_nested)</w:t>
            </w:r>
          </w:p>
        </w:tc>
        <w:tc>
          <w:tcPr>
            <w:tcW w:type="dxa" w:w="1701"/>
            <w:shd w:val="clear" w:color="auto" w:fill="E8E8E8"/>
          </w:tcPr>
          <w:p>
            <w:pPr>
              <w:jc w:val="center"/>
            </w:pPr>
            <w:r>
              <w:rPr>
                <w:rFonts w:ascii="Times New Roman" w:hAnsi="Times New Roman"/>
                <w:b/>
                <w:sz w:val="20"/>
              </w:rPr>
              <w:t>Extendido (Φ × S)</w:t>
            </w:r>
          </w:p>
        </w:tc>
        <w:tc>
          <w:tcPr>
            <w:tcW w:type="dxa" w:w="1871"/>
            <w:shd w:val="clear" w:color="auto" w:fill="E8E8E8"/>
          </w:tcPr>
          <w:p>
            <w:pPr>
              <w:jc w:val="center"/>
            </w:pPr>
            <w:r>
              <w:rPr>
                <w:rFonts w:ascii="Times New Roman" w:hAnsi="Times New Roman"/>
                <w:b/>
                <w:sz w:val="20"/>
              </w:rPr>
              <w:t>Benchmark MSCI (+10%)</w:t>
            </w: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417"/>
          </w:tcPr>
          <w:p>
            <w:pPr>
              <w:jc w:val="left"/>
            </w:pPr>
            <w:r>
              <w:rPr>
                <w:rFonts w:ascii="Times New Roman" w:hAnsi="Times New Roman"/>
                <w:sz w:val="20"/>
              </w:rPr>
              <w:t>2028 (t=2)</w:t>
            </w:r>
          </w:p>
        </w:tc>
        <w:tc>
          <w:tcPr>
            <w:tcW w:type="dxa" w:w="1814"/>
          </w:tcPr>
          <w:p>
            <w:pPr>
              <w:jc w:val="center"/>
            </w:pPr>
            <w:r>
              <w:rPr>
                <w:rFonts w:ascii="Times New Roman" w:hAnsi="Times New Roman"/>
                <w:sz w:val="20"/>
              </w:rPr>
              <w:t>€  168k</w:t>
            </w:r>
          </w:p>
        </w:tc>
        <w:tc>
          <w:tcPr>
            <w:tcW w:type="dxa" w:w="1701"/>
          </w:tcPr>
          <w:p>
            <w:pPr>
              <w:jc w:val="center"/>
            </w:pPr>
            <w:r>
              <w:rPr>
                <w:rFonts w:ascii="Times New Roman" w:hAnsi="Times New Roman"/>
                <w:sz w:val="20"/>
              </w:rPr>
              <w:t>€  336k</w:t>
            </w:r>
          </w:p>
        </w:tc>
        <w:tc>
          <w:tcPr>
            <w:tcW w:type="dxa" w:w="1701"/>
          </w:tcPr>
          <w:p>
            <w:pPr>
              <w:jc w:val="center"/>
            </w:pPr>
            <w:r>
              <w:rPr>
                <w:rFonts w:ascii="Times New Roman" w:hAnsi="Times New Roman"/>
                <w:sz w:val="20"/>
              </w:rPr>
              <w:t>€  353k</w:t>
            </w:r>
          </w:p>
        </w:tc>
        <w:tc>
          <w:tcPr>
            <w:tcW w:type="dxa" w:w="1871"/>
          </w:tcPr>
          <w:p>
            <w:pPr>
              <w:jc w:val="center"/>
            </w:pPr>
            <w:r>
              <w:rPr>
                <w:rFonts w:ascii="Times New Roman" w:hAnsi="Times New Roman"/>
                <w:sz w:val="20"/>
              </w:rPr>
              <w:t>€  121k</w:t>
            </w:r>
          </w:p>
        </w:tc>
      </w:tr>
      <w:tr>
        <w:tc>
          <w:tcPr>
            <w:tcW w:type="dxa" w:w="1417"/>
          </w:tcPr>
          <w:p>
            <w:pPr>
              <w:jc w:val="left"/>
            </w:pPr>
            <w:r>
              <w:rPr>
                <w:rFonts w:ascii="Times New Roman" w:hAnsi="Times New Roman"/>
                <w:sz w:val="20"/>
              </w:rPr>
              <w:t>2029 (t=3)</w:t>
            </w:r>
          </w:p>
        </w:tc>
        <w:tc>
          <w:tcPr>
            <w:tcW w:type="dxa" w:w="1814"/>
          </w:tcPr>
          <w:p>
            <w:pPr>
              <w:jc w:val="center"/>
            </w:pPr>
            <w:r>
              <w:rPr>
                <w:rFonts w:ascii="Times New Roman" w:hAnsi="Times New Roman"/>
                <w:sz w:val="20"/>
              </w:rPr>
              <w:t>€  226k</w:t>
            </w:r>
          </w:p>
        </w:tc>
        <w:tc>
          <w:tcPr>
            <w:tcW w:type="dxa" w:w="1701"/>
          </w:tcPr>
          <w:p>
            <w:pPr>
              <w:jc w:val="center"/>
            </w:pPr>
            <w:r>
              <w:rPr>
                <w:rFonts w:ascii="Times New Roman" w:hAnsi="Times New Roman"/>
                <w:sz w:val="20"/>
              </w:rPr>
              <w:t>€  518k</w:t>
            </w:r>
          </w:p>
        </w:tc>
        <w:tc>
          <w:tcPr>
            <w:tcW w:type="dxa" w:w="1701"/>
          </w:tcPr>
          <w:p>
            <w:pPr>
              <w:jc w:val="center"/>
            </w:pPr>
            <w:r>
              <w:rPr>
                <w:rFonts w:ascii="Times New Roman" w:hAnsi="Times New Roman"/>
                <w:sz w:val="20"/>
              </w:rPr>
              <w:t>€  567k</w:t>
            </w:r>
          </w:p>
        </w:tc>
        <w:tc>
          <w:tcPr>
            <w:tcW w:type="dxa" w:w="1871"/>
          </w:tcPr>
          <w:p>
            <w:pPr>
              <w:jc w:val="center"/>
            </w:pPr>
            <w:r>
              <w:rPr>
                <w:rFonts w:ascii="Times New Roman" w:hAnsi="Times New Roman"/>
                <w:sz w:val="20"/>
              </w:rPr>
              <w:t>€  133k</w:t>
            </w:r>
          </w:p>
        </w:tc>
      </w:tr>
      <w:tr>
        <w:tc>
          <w:tcPr>
            <w:tcW w:type="dxa" w:w="1417"/>
          </w:tcPr>
          <w:p>
            <w:pPr>
              <w:jc w:val="left"/>
            </w:pPr>
            <w:r>
              <w:rPr>
                <w:rFonts w:ascii="Times New Roman" w:hAnsi="Times New Roman"/>
                <w:sz w:val="20"/>
              </w:rPr>
              <w:t>2031 (t=5)</w:t>
            </w:r>
          </w:p>
        </w:tc>
        <w:tc>
          <w:tcPr>
            <w:tcW w:type="dxa" w:w="1814"/>
          </w:tcPr>
          <w:p>
            <w:pPr>
              <w:jc w:val="center"/>
            </w:pPr>
            <w:r>
              <w:rPr>
                <w:rFonts w:ascii="Times New Roman" w:hAnsi="Times New Roman"/>
                <w:sz w:val="20"/>
              </w:rPr>
              <w:t>€  423k</w:t>
            </w:r>
          </w:p>
        </w:tc>
        <w:tc>
          <w:tcPr>
            <w:tcW w:type="dxa" w:w="1701"/>
          </w:tcPr>
          <w:p>
            <w:pPr>
              <w:jc w:val="center"/>
            </w:pPr>
            <w:r>
              <w:rPr>
                <w:rFonts w:ascii="Times New Roman" w:hAnsi="Times New Roman"/>
                <w:sz w:val="20"/>
              </w:rPr>
              <w:t>€1.040k</w:t>
            </w:r>
          </w:p>
        </w:tc>
        <w:tc>
          <w:tcPr>
            <w:tcW w:type="dxa" w:w="1701"/>
          </w:tcPr>
          <w:p>
            <w:pPr>
              <w:jc w:val="center"/>
            </w:pPr>
            <w:r>
              <w:rPr>
                <w:rFonts w:ascii="Times New Roman" w:hAnsi="Times New Roman"/>
                <w:sz w:val="20"/>
              </w:rPr>
              <w:t>€1.240k</w:t>
            </w:r>
          </w:p>
        </w:tc>
        <w:tc>
          <w:tcPr>
            <w:tcW w:type="dxa" w:w="1871"/>
          </w:tcPr>
          <w:p>
            <w:pPr>
              <w:jc w:val="center"/>
            </w:pPr>
            <w:r>
              <w:rPr>
                <w:rFonts w:ascii="Times New Roman" w:hAnsi="Times New Roman"/>
                <w:sz w:val="20"/>
              </w:rPr>
              <w:t>€  161k</w:t>
            </w:r>
          </w:p>
        </w:tc>
      </w:tr>
      <w:tr>
        <w:tc>
          <w:tcPr>
            <w:tcW w:type="dxa" w:w="1417"/>
          </w:tcPr>
          <w:p>
            <w:pPr>
              <w:jc w:val="left"/>
            </w:pPr>
            <w:r>
              <w:rPr>
                <w:rFonts w:ascii="Times New Roman" w:hAnsi="Times New Roman"/>
                <w:sz w:val="20"/>
              </w:rPr>
              <w:t>2033 (t=7)</w:t>
            </w:r>
          </w:p>
        </w:tc>
        <w:tc>
          <w:tcPr>
            <w:tcW w:type="dxa" w:w="1814"/>
          </w:tcPr>
          <w:p>
            <w:pPr>
              <w:jc w:val="center"/>
            </w:pPr>
            <w:r>
              <w:rPr>
                <w:rFonts w:ascii="Times New Roman" w:hAnsi="Times New Roman"/>
                <w:sz w:val="20"/>
              </w:rPr>
              <w:t>€  760k</w:t>
            </w:r>
          </w:p>
        </w:tc>
        <w:tc>
          <w:tcPr>
            <w:tcW w:type="dxa" w:w="1701"/>
          </w:tcPr>
          <w:p>
            <w:pPr>
              <w:jc w:val="center"/>
            </w:pPr>
            <w:r>
              <w:rPr>
                <w:rFonts w:ascii="Times New Roman" w:hAnsi="Times New Roman"/>
                <w:sz w:val="20"/>
              </w:rPr>
              <w:t>€1.810k</w:t>
            </w:r>
          </w:p>
        </w:tc>
        <w:tc>
          <w:tcPr>
            <w:tcW w:type="dxa" w:w="1701"/>
          </w:tcPr>
          <w:p>
            <w:pPr>
              <w:jc w:val="center"/>
            </w:pPr>
            <w:r>
              <w:rPr>
                <w:rFonts w:ascii="Times New Roman" w:hAnsi="Times New Roman"/>
                <w:sz w:val="20"/>
              </w:rPr>
              <w:t>€2.290k</w:t>
            </w:r>
          </w:p>
        </w:tc>
        <w:tc>
          <w:tcPr>
            <w:tcW w:type="dxa" w:w="1871"/>
          </w:tcPr>
          <w:p>
            <w:pPr>
              <w:jc w:val="center"/>
            </w:pPr>
            <w:r>
              <w:rPr>
                <w:rFonts w:ascii="Times New Roman" w:hAnsi="Times New Roman"/>
                <w:sz w:val="20"/>
              </w:rPr>
              <w:t>€  195k</w:t>
            </w:r>
          </w:p>
        </w:tc>
      </w:tr>
      <w:tr>
        <w:tc>
          <w:tcPr>
            <w:tcW w:type="dxa" w:w="1417"/>
          </w:tcPr>
          <w:p>
            <w:pPr>
              <w:jc w:val="left"/>
            </w:pPr>
            <w:r>
              <w:rPr>
                <w:rFonts w:ascii="Times New Roman" w:hAnsi="Times New Roman"/>
                <w:sz w:val="20"/>
              </w:rPr>
              <w:t>2036 (t=10)</w:t>
            </w:r>
          </w:p>
        </w:tc>
        <w:tc>
          <w:tcPr>
            <w:tcW w:type="dxa" w:w="1814"/>
          </w:tcPr>
          <w:p>
            <w:pPr>
              <w:jc w:val="center"/>
            </w:pPr>
            <w:r>
              <w:rPr>
                <w:rFonts w:ascii="Times New Roman" w:hAnsi="Times New Roman"/>
                <w:sz w:val="20"/>
              </w:rPr>
              <w:t>€1.580k</w:t>
            </w:r>
          </w:p>
        </w:tc>
        <w:tc>
          <w:tcPr>
            <w:tcW w:type="dxa" w:w="1701"/>
          </w:tcPr>
          <w:p>
            <w:pPr>
              <w:jc w:val="center"/>
            </w:pPr>
            <w:r>
              <w:rPr>
                <w:rFonts w:ascii="Times New Roman" w:hAnsi="Times New Roman"/>
                <w:sz w:val="20"/>
              </w:rPr>
              <w:t>€3.490k</w:t>
            </w:r>
          </w:p>
        </w:tc>
        <w:tc>
          <w:tcPr>
            <w:tcW w:type="dxa" w:w="1701"/>
          </w:tcPr>
          <w:p>
            <w:pPr>
              <w:jc w:val="center"/>
            </w:pPr>
            <w:r>
              <w:rPr>
                <w:rFonts w:ascii="Times New Roman" w:hAnsi="Times New Roman"/>
                <w:sz w:val="20"/>
              </w:rPr>
              <w:t>€4.810k</w:t>
            </w:r>
          </w:p>
        </w:tc>
        <w:tc>
          <w:tcPr>
            <w:tcW w:type="dxa" w:w="1871"/>
          </w:tcPr>
          <w:p>
            <w:pPr>
              <w:jc w:val="center"/>
            </w:pPr>
            <w:r>
              <w:rPr>
                <w:rFonts w:ascii="Times New Roman" w:hAnsi="Times New Roman"/>
                <w:sz w:val="20"/>
              </w:rPr>
              <w:t>€  259k</w:t>
            </w:r>
          </w:p>
        </w:tc>
      </w:tr>
      <w:tr>
        <w:tc>
          <w:tcPr>
            <w:tcW w:type="dxa" w:w="1417"/>
          </w:tcPr>
          <w:p>
            <w:pPr>
              <w:jc w:val="left"/>
            </w:pPr>
            <w:r>
              <w:rPr>
                <w:rFonts w:ascii="Times New Roman" w:hAnsi="Times New Roman"/>
                <w:sz w:val="20"/>
              </w:rPr>
              <w:t>2038 (t=12)</w:t>
            </w:r>
          </w:p>
        </w:tc>
        <w:tc>
          <w:tcPr>
            <w:tcW w:type="dxa" w:w="1814"/>
          </w:tcPr>
          <w:p>
            <w:pPr>
              <w:jc w:val="center"/>
            </w:pPr>
            <w:r>
              <w:rPr>
                <w:rFonts w:ascii="Times New Roman" w:hAnsi="Times New Roman"/>
                <w:sz w:val="20"/>
              </w:rPr>
              <w:t>€2.440k</w:t>
            </w:r>
          </w:p>
        </w:tc>
        <w:tc>
          <w:tcPr>
            <w:tcW w:type="dxa" w:w="1701"/>
          </w:tcPr>
          <w:p>
            <w:pPr>
              <w:jc w:val="center"/>
            </w:pPr>
            <w:r>
              <w:rPr>
                <w:rFonts w:ascii="Times New Roman" w:hAnsi="Times New Roman"/>
                <w:sz w:val="20"/>
              </w:rPr>
              <w:t>€5.270k</w:t>
            </w:r>
          </w:p>
        </w:tc>
        <w:tc>
          <w:tcPr>
            <w:tcW w:type="dxa" w:w="1701"/>
          </w:tcPr>
          <w:p>
            <w:pPr>
              <w:jc w:val="center"/>
            </w:pPr>
            <w:r>
              <w:rPr>
                <w:rFonts w:ascii="Times New Roman" w:hAnsi="Times New Roman"/>
                <w:sz w:val="20"/>
              </w:rPr>
              <w:t>€7.610k</w:t>
            </w:r>
          </w:p>
        </w:tc>
        <w:tc>
          <w:tcPr>
            <w:tcW w:type="dxa" w:w="1871"/>
          </w:tcPr>
          <w:p>
            <w:pPr>
              <w:jc w:val="center"/>
            </w:pPr>
            <w:r>
              <w:rPr>
                <w:rFonts w:ascii="Times New Roman" w:hAnsi="Times New Roman"/>
                <w:sz w:val="20"/>
              </w:rPr>
              <w:t>€  314k</w:t>
            </w:r>
          </w:p>
        </w:tc>
      </w:tr>
    </w:tbl>
    <w:p/>
    <w:p>
      <w:pPr>
        <w:spacing w:before="0" w:after="80"/>
        <w:ind w:left="567"/>
        <w:jc w:val="both"/>
      </w:pPr>
      <w:r>
        <w:rPr>
          <w:rFonts w:ascii="Times New Roman" w:hAnsi="Times New Roman"/>
          <w:i/>
          <w:sz w:val="18"/>
        </w:rPr>
        <w:t>Tabla 6. Proyecciones ilustrativas. Capital inicial €100k, distribución genérica (datos no reales). BASE: r por activo calibrado individualmente (BTC=25%, IA=20%, Nuclear=15%, RV=10%), η=0.20, autofabricación desde 2027 (t_robot=1). Anidado: solo Φ_nested(t)/Φ_nested(0), sin S_i(t). Extendido: Φ_nested × S_i(t) con ε_BTC=1.0, ε_IA=0.7, ε_RV=0.15. Las cifras son escenarios de referencia, no predicciones.</w:t>
      </w:r>
    </w:p>
    <w:p>
      <w:pPr>
        <w:spacing w:before="0" w:after="120"/>
        <w:jc w:val="both"/>
      </w:pPr>
      <w:r>
        <w:rPr>
          <w:b w:val="0"/>
          <w:i w:val="0"/>
        </w:rPr>
        <w:t>El resultado más significativo de la Tabla 6 es que la divergencia entre el modelo extendido y el logístico simple comienza ya en 2028 — un año después del arranque de la autofabricación. En el horizonte de diez años (2036), el modelo extendido (Φ_nested × S) supera al simple logístico en 3× (€4.81M vs €1.58M). La mayor parte de la diferencia proviene de Φ_nested(t): mientras el multiplicador logístico simple (BASE, K=2, γ=0.5) alcanza un ratio de 2.47× a t=10, Φ_nested(10)/Φ_nested(0) = 5.46×, con las cuatro olas ya madurando simultáneamente. La prima de escasez S_i(t) añade un 30–40% adicional para la fracción de Bitcoin (ε=1.0), que en esta asignación representa el 40% del capital. Comparado con el escenario anterior (autofab en 2033), el adelanto a 2027 incorpora seis años adicionales de capitalización de las olas 2–4.</w:t>
      </w:r>
    </w:p>
    <w:p>
      <w:r>
        <w:br w:type="page"/>
      </w:r>
    </w:p>
    <w:p>
      <w:pPr>
        <w:pStyle w:val="Heading1"/>
      </w:pPr>
      <w:r>
        <w:t>6. Implicaciones para la Cartera Escasez y Resiliencia</w:t>
      </w:r>
    </w:p>
    <w:p>
      <w:pPr>
        <w:pStyle w:val="Heading2"/>
      </w:pPr>
      <w:r>
        <w:t>6.1 Validación estructural de la tesis</w:t>
      </w:r>
    </w:p>
    <w:p>
      <w:pPr>
        <w:spacing w:before="0" w:after="120"/>
        <w:jc w:val="both"/>
      </w:pPr>
      <w:r>
        <w:rPr>
          <w:b w:val="0"/>
          <w:i w:val="0"/>
        </w:rPr>
        <w:t>El análisis del modelo extendido produce una conclusión central: la cartera Escasez y Resiliencia, construida intuitivamente alrededor de pilares de escasez física y digital, está estructuralmente alineada con el escenario de autofabricación robótica por razones que van más allá de la intuición original.</w:t>
      </w:r>
    </w:p>
    <w:p>
      <w:pPr>
        <w:spacing w:before="0" w:after="120"/>
        <w:jc w:val="both"/>
      </w:pPr>
      <w:r>
        <w:rPr>
          <w:b w:val="0"/>
          <w:i w:val="0"/>
        </w:rPr>
        <w:t>En concreto, los activos con mayor εᵢ (Bitcoin, cobre, uranio, grid) son exactamente los activos que no pueden ser replicados por ningún proceso de manufactura automatizado, por definición. Bitcoin porque su escasez es matemática; el cobre y el uranio porque son elementos de la tabla periódica que ningún robot puede sintetizar; la infraestructura de grid porque requiere física constructiva con un ciclo de inversión de décadas.</w:t>
      </w:r>
    </w:p>
    <w:p>
      <w:pPr>
        <w:pStyle w:val="Heading2"/>
      </w:pPr>
      <w:r>
        <w:t>6.2 El SOX/Cobre como detector de t₀</w:t>
      </w:r>
    </w:p>
    <w:p>
      <w:pPr>
        <w:spacing w:before="0" w:after="120"/>
        <w:jc w:val="both"/>
      </w:pPr>
      <w:r>
        <w:rPr>
          <w:b w:val="0"/>
          <w:i w:val="0"/>
        </w:rPr>
        <w:t>La señal SOX/Cobre introducida en el paper fundacional adquiere una interpretación adicional en el modelo de olas anidadas: es el detector del inicio de la ola 2 (robótica física, t₀ ≈ 2027). Cuando SOX sube y Cobre también sube, ambas olas están activas simultáneamente — el mundo construye tanto las capacidades de IA como la infraestructura física que las soporta. Cuando SOX sube y Cobre baja (Divergencia), la ola de software ha superado temporalmente a la de hardware.</w:t>
      </w:r>
    </w:p>
    <w:p>
      <w:pPr>
        <w:spacing w:before="0" w:after="120"/>
        <w:jc w:val="both"/>
      </w:pPr>
      <w:r>
        <w:rPr>
          <w:b w:val="0"/>
          <w:i w:val="0"/>
        </w:rPr>
        <w:t>Para la ola 4, el detector análogo aún no existe como señal de mercado establecida. La candidata más prometedora es el ratio capex en robots/capex total de las mayores fábricas del mundo (TSMC, Foxconn, Toyota), cuando ese ratio supere el 40% y comience a crecer exponencialmente, estaremos cerca de t₀₄.</w:t>
      </w:r>
    </w:p>
    <w:p>
      <w:pPr>
        <w:pStyle w:val="Heading2"/>
      </w:pPr>
      <w:r>
        <w:t>6.3 Revisiones del modelo recomendadas</w:t>
      </w:r>
    </w:p>
    <w:p>
      <w:pPr>
        <w:spacing w:before="0" w:after="120"/>
        <w:jc w:val="both"/>
      </w:pPr>
      <w:r>
        <w:rPr>
          <w:b w:val="0"/>
          <w:i w:val="0"/>
        </w:rPr>
        <w:t>El modelo de olas anidadas introduce parámetros adicionales que requieren un protocolo de revisión más estructurado que el modelo simple. El siguiente protocolo de revisión se propone:</w:t>
      </w:r>
    </w:p>
    <w:p>
      <w:pPr>
        <w:pStyle w:val="ListBullet"/>
        <w:spacing w:after="60"/>
        <w:ind w:left="567"/>
        <w:jc w:val="both"/>
      </w:pPr>
      <w:r>
        <w:rPr>
          <w:rFonts w:ascii="Times New Roman" w:hAnsi="Times New Roman"/>
          <w:sz w:val="22"/>
        </w:rPr>
        <w:t>Revisión trimestral de r y γ₁ (olas 1-2): actualizar con cadencia de releases LLM y datos de instalación de robots industriales (IFR World Robotics Report).</w:t>
      </w:r>
    </w:p>
    <w:p>
      <w:pPr>
        <w:pStyle w:val="ListBullet"/>
        <w:spacing w:after="60"/>
        <w:ind w:left="567"/>
        <w:jc w:val="both"/>
      </w:pPr>
      <w:r>
        <w:rPr>
          <w:rFonts w:ascii="Times New Roman" w:hAnsi="Times New Roman"/>
          <w:sz w:val="22"/>
        </w:rPr>
        <w:t>Revisión semestral de K₁ y K₂: ajustar según penetración observada de LLM en empresas (índices de adopción de Gartner, IDC) y ratio de robots/trabajador en manufactura global.</w:t>
      </w:r>
    </w:p>
    <w:p>
      <w:pPr>
        <w:pStyle w:val="ListBullet"/>
        <w:spacing w:after="60"/>
        <w:ind w:left="567"/>
        <w:jc w:val="both"/>
      </w:pPr>
      <w:r>
        <w:rPr>
          <w:rFonts w:ascii="Times New Roman" w:hAnsi="Times New Roman"/>
          <w:sz w:val="22"/>
        </w:rPr>
        <w:t>Revisión anual de t₀₃ y t₀₄: actualizar con hoja de ruta publicada por los principales laboratorios de robótica y semiconductores.</w:t>
      </w:r>
    </w:p>
    <w:p>
      <w:pPr>
        <w:pStyle w:val="ListBullet"/>
        <w:spacing w:after="60"/>
        <w:ind w:left="567"/>
        <w:jc w:val="both"/>
      </w:pPr>
      <w:r>
        <w:rPr>
          <w:rFonts w:ascii="Times New Roman" w:hAnsi="Times New Roman"/>
          <w:sz w:val="22"/>
        </w:rPr>
        <w:t>Señal de alerta temprana ola 4: monitorizar el ratio capex robots/capex total en las 10 mayores fábricas del mundo. Umbral de atención: &gt;30%.</w:t>
      </w:r>
    </w:p>
    <w:p>
      <w:r>
        <w:br w:type="page"/>
      </w:r>
    </w:p>
    <w:p>
      <w:pPr>
        <w:pStyle w:val="Heading1"/>
      </w:pPr>
      <w:r>
        <w:t>7. Limitaciones del Modelo y Riesgos de la Tesis</w:t>
      </w:r>
    </w:p>
    <w:p>
      <w:pPr>
        <w:pStyle w:val="Heading2"/>
      </w:pPr>
      <w:r>
        <w:t>7.1 Limitaciones matemáticas</w:t>
      </w:r>
    </w:p>
    <w:p>
      <w:pPr>
        <w:spacing w:before="0" w:after="120"/>
        <w:jc w:val="both"/>
      </w:pPr>
      <w:r>
        <w:rPr>
          <w:b w:val="0"/>
          <w:i w:val="0"/>
        </w:rPr>
        <w:t>El modelo de olas anidadas tiene tres limitaciones matemáticas que el lector debe tener presentes:</w:t>
      </w:r>
    </w:p>
    <w:p>
      <w:pPr>
        <w:spacing w:before="0" w:after="120"/>
        <w:jc w:val="both"/>
      </w:pPr>
      <w:r>
        <w:rPr>
          <w:b w:val="0"/>
          <w:i w:val="0"/>
        </w:rPr>
        <w:t>Primera, independencia de olas. El modelo asume que las olas Kᵢ son independientes y aditivas. En realidad, existe retroalimentación entre ellas: la ola 2 (robótica) depende del éxito de la ola 1 (LLM). Una formulación más rigurosa introduciría términos de interacción, aumentando la complejidad paramétrica sin necesariamente mejorar la predictibilidad.</w:t>
      </w:r>
    </w:p>
    <w:p>
      <w:pPr>
        <w:spacing w:before="0" w:after="120"/>
        <w:jc w:val="both"/>
      </w:pPr>
      <w:r>
        <w:rPr>
          <w:b w:val="0"/>
          <w:i w:val="0"/>
        </w:rPr>
        <w:t>Segunda, techo fijo por ola. Cada Kᵢ es constante en el modelo. En la realidad, el multiplicador máximo de una ola puede cambiar si las condiciones tecnológicas o regulatorias varían. El techo K₄ = 5 para la autofabricación asume que la regulación no detiene el proceso antes de su saturación natural.</w:t>
      </w:r>
    </w:p>
    <w:p>
      <w:pPr>
        <w:spacing w:before="0" w:after="120"/>
        <w:jc w:val="both"/>
      </w:pPr>
      <w:r>
        <w:rPr>
          <w:b w:val="0"/>
          <w:i w:val="0"/>
        </w:rPr>
        <w:t>Tercera, calibración prospectiva incierta. La ola 2 (2027) es la hipótesis central de este paper; las olas 3 y 4 (2029, 2031) están calibradas sobre proyecciones. La incertidumbre en t₀₂ es de ±1 año, con impacto en proyecciones del orden del 25-40%. Si la autofabricación se retrasa a 2029, los resultados de la Tabla 6 se moderan a niveles comparables al escenario original de 2033 pero con menor divergencia en el largo plazo.</w:t>
      </w:r>
    </w:p>
    <w:p>
      <w:pPr>
        <w:pStyle w:val="Heading2"/>
      </w:pPr>
      <w:r>
        <w:t>7.2 Riesgos de la tesis de inversión</w:t>
      </w:r>
    </w:p>
    <w:p>
      <w:pPr>
        <w:spacing w:before="0" w:after="120"/>
        <w:jc w:val="both"/>
      </w:pPr>
      <w:r>
        <w:rPr>
          <w:b w:val="0"/>
          <w:i w:val="0"/>
        </w:rPr>
        <w:t>La tesis de la cartera asume que la autofabricación robótica se materializará desde 2027. Este horizonte significativamente más cercano eleva tanto el potencial de la cartera como la urgencia de los riesgos. Los principales riesgos a esta hipótesis son:</w:t>
      </w:r>
    </w:p>
    <w:p>
      <w:pPr>
        <w:pStyle w:val="ListBullet"/>
        <w:spacing w:after="60"/>
        <w:ind w:left="567"/>
        <w:jc w:val="both"/>
      </w:pPr>
      <w:r>
        <w:rPr>
          <w:rFonts w:ascii="Times New Roman" w:hAnsi="Times New Roman"/>
          <w:sz w:val="22"/>
        </w:rPr>
        <w:t>Riesgo regulatorio: Los gobiernos podrían prohibir o limitar severamente la autofabricación robótica por razones de empleo, seguridad o control geopolítico. Probabilidad estimada: moderada (30-40%); impacto en modelo: retraso de t₀₄ en 5-10 años, reducción de K₄ a 2-3.</w:t>
      </w:r>
    </w:p>
    <w:p>
      <w:pPr>
        <w:pStyle w:val="ListBullet"/>
        <w:spacing w:after="60"/>
        <w:ind w:left="567"/>
        <w:jc w:val="both"/>
      </w:pPr>
      <w:r>
        <w:rPr>
          <w:rFonts w:ascii="Times New Roman" w:hAnsi="Times New Roman"/>
          <w:sz w:val="22"/>
        </w:rPr>
        <w:t>Riesgo tecnológico: La autofabricación requiere robots generalistas con destreza comparable a la humana. Actualmente los robots industriales son altamente específicos; la generalización puede tardar más de lo estimado.</w:t>
      </w:r>
    </w:p>
    <w:p>
      <w:pPr>
        <w:pStyle w:val="ListBullet"/>
        <w:spacing w:after="60"/>
        <w:ind w:left="567"/>
        <w:jc w:val="both"/>
      </w:pPr>
      <w:r>
        <w:rPr>
          <w:rFonts w:ascii="Times New Roman" w:hAnsi="Times New Roman"/>
          <w:sz w:val="22"/>
        </w:rPr>
        <w:t>Riesgo de sustitución de materiales: Avances en materiales sintéticos podrían reducir la dependencia del cobre (grafeno, superconductores de alta temperatura). Probabilidad: baja para el horizonte 2036, moderada para 2040+.</w:t>
      </w:r>
    </w:p>
    <w:p>
      <w:pPr>
        <w:pStyle w:val="ListBullet"/>
        <w:spacing w:after="60"/>
        <w:ind w:left="567"/>
        <w:jc w:val="both"/>
      </w:pPr>
      <w:r>
        <w:rPr>
          <w:rFonts w:ascii="Times New Roman" w:hAnsi="Times New Roman"/>
          <w:sz w:val="22"/>
        </w:rPr>
        <w:t>Riesgo de protocolo Bitcoin: Un fallo de consenso o ataque cuántico exitoso podría comprometer la escasez programada de Bitcoin. Probabilidad: muy baja para el horizonte de este paper.</w:t>
      </w:r>
    </w:p>
    <w:p>
      <w:pPr>
        <w:pStyle w:val="ListBullet"/>
        <w:spacing w:after="60"/>
        <w:ind w:left="567"/>
        <w:jc w:val="both"/>
      </w:pPr>
      <w:r>
        <w:rPr>
          <w:rFonts w:ascii="Times New Roman" w:hAnsi="Times New Roman"/>
          <w:sz w:val="22"/>
        </w:rPr>
        <w:t>Riesgo de régimen de tipos de interés: Un entorno de tipos altos prolongado reduce el valor presente de los flujos futuros y penaliza los activos de crecimiento. El modelo no incluye el tipo de descuento explícitamente.</w:t>
      </w:r>
    </w:p>
    <w:p>
      <w:r>
        <w:br w:type="page"/>
      </w:r>
    </w:p>
    <w:p>
      <w:pPr>
        <w:pStyle w:val="Heading1"/>
      </w:pPr>
      <w:r>
        <w:t>8. Conclusiones</w:t>
      </w:r>
    </w:p>
    <w:p>
      <w:pPr>
        <w:spacing w:before="0" w:after="120"/>
        <w:jc w:val="both"/>
      </w:pPr>
      <w:r>
        <w:rPr>
          <w:b w:val="0"/>
          <w:i w:val="0"/>
        </w:rPr>
        <w:t>Este paper extiende el modelo Escasez y Resiliencia en dos dimensiones: la estructura de olas anidadas que captura la naturaleza discreta y superpuesta del cambio tecnológico, y el mecanismo de retroalimentación de la autofabricación robótica que genera una prima de escasez diferencial por categoría de activo.</w:t>
      </w:r>
    </w:p>
    <w:p>
      <w:pPr>
        <w:spacing w:before="0" w:after="120"/>
        <w:jc w:val="both"/>
      </w:pPr>
      <w:r>
        <w:rPr>
          <w:b w:val="0"/>
          <w:i w:val="0"/>
        </w:rPr>
        <w:t>Los resultados más relevantes son tres. Primero, el modelo de olas anidadas es formalmente una extensión del modelo del paper fundacional, que es el caso n=1. Esto garantiza coherencia matemática entre ambos trabajos. Segundo, la autofabricación robótica —revisada a 2027 en esta edición— introduce una discontinuidad cualitativa: convierte al factor de producción en su propio replicador, colapsando costes marginales y amplificando la prima de escasez de los activos con εᵢ &gt; 0 desde el corto plazo. Tercero, y más importante desde el punto de vista práctico, la cartera Escasez y Resiliencia está correctamente posicionada en los cuellos de botella físicos (cobre, uranio, grid) y digitales (Bitcoin) que el proceso de autofabricación no puede eliminar, sino que de hecho intensifica. Con t_robot = 2027, este efecto es perceptible ya desde el segundo año del horizonte de inversión.</w:t>
      </w:r>
    </w:p>
    <w:p>
      <w:pPr>
        <w:spacing w:before="0" w:after="120"/>
        <w:jc w:val="both"/>
      </w:pPr>
      <w:r>
        <w:rPr>
          <w:b w:val="0"/>
          <w:i w:val="0"/>
        </w:rPr>
        <w:t>El corolario es contraintuitivo pero robusto: cuanto más avance la autofabricación, más valiosos se vuelven los activos escasos, no menos. La tesis de inversión se autofortalece con el mismo proceso tecnológico que podría parecer que la amenaza.</w:t>
      </w:r>
    </w:p>
    <w:p>
      <w:pPr>
        <w:spacing w:before="0" w:after="320"/>
        <w:jc w:val="both"/>
      </w:pPr>
      <w:r>
        <w:rPr>
          <w:b w:val="0"/>
          <w:i w:val="0"/>
        </w:rPr>
        <w:t>Una advertencia final: con t_robot = 2027, las proyecciones del modelo extendido son más sensibles a la velocidad real de adopción robótica en el período 2027–2030. Una revisión al alza de η (eficiencia de replicación) amplifica drásticamente los resultados; una revisión a la baja o un retraso regulatorio los modera. El modelo base del paper fundacional permanece como la herramienta de gestión diaria del portfolio; el modelo extendido es el marco conceptual para la revisión estratégica semestral.</w:t>
      </w:r>
    </w:p>
    <w:p>
      <w:pPr>
        <w:spacing w:before="80" w:after="80"/>
        <w:jc w:val="center"/>
      </w:pPr>
      <w:r>
        <w:rPr>
          <w:color w:val="B4B4B4"/>
          <w:sz w:val="16"/>
        </w:rPr>
        <w:t>────────────────────────────────────────────────────────────────────────</w:t>
      </w:r>
    </w:p>
    <w:p>
      <w:pPr>
        <w:spacing w:before="0" w:after="40"/>
        <w:jc w:val="center"/>
      </w:pPr>
      <w:r>
        <w:rPr>
          <w:b w:val="0"/>
          <w:i/>
        </w:rPr>
        <w:t>"Las personas siempre sobreestiman lo que puede ocurrir en dos años y subestiman lo que puede ocurrir en diez."</w:t>
      </w:r>
    </w:p>
    <w:p>
      <w:pPr>
        <w:spacing w:before="0" w:after="320"/>
        <w:jc w:val="center"/>
      </w:pPr>
      <w:r>
        <w:rPr>
          <w:b w:val="0"/>
          <w:i/>
        </w:rPr>
        <w:t>— Bill Gates, The Road Ahead (1995)</w:t>
      </w:r>
    </w:p>
    <w:p>
      <w:r>
        <w:br w:type="page"/>
      </w:r>
    </w:p>
    <w:p>
      <w:pPr>
        <w:pStyle w:val="Heading1"/>
      </w:pPr>
      <w:r>
        <w:t>Referencias</w:t>
      </w:r>
    </w:p>
    <w:p>
      <w:pPr>
        <w:spacing w:after="80"/>
        <w:ind w:left="567" w:hanging="567"/>
        <w:jc w:val="both"/>
      </w:pPr>
      <w:r>
        <w:rPr>
          <w:rFonts w:ascii="Times New Roman" w:hAnsi="Times New Roman"/>
          <w:sz w:val="20"/>
        </w:rPr>
        <w:t>Bass, F. M. (1969). A new product growth for model consumer durables. Management Science, 15(5), 215–227.</w:t>
      </w:r>
    </w:p>
    <w:p>
      <w:pPr>
        <w:spacing w:after="80"/>
        <w:ind w:left="567" w:hanging="567"/>
        <w:jc w:val="both"/>
      </w:pPr>
      <w:r>
        <w:rPr>
          <w:rFonts w:ascii="Times New Roman" w:hAnsi="Times New Roman"/>
          <w:sz w:val="20"/>
        </w:rPr>
        <w:t>Freeman, C., &amp; Louçã, F. (2001). As Time Goes By: From the Industrial Revolutions to the Information Revolution. Oxford University Press.</w:t>
      </w:r>
    </w:p>
    <w:p>
      <w:pPr>
        <w:spacing w:after="80"/>
        <w:ind w:left="567" w:hanging="567"/>
        <w:jc w:val="both"/>
      </w:pPr>
      <w:r>
        <w:rPr>
          <w:rFonts w:ascii="Times New Roman" w:hAnsi="Times New Roman"/>
          <w:sz w:val="20"/>
        </w:rPr>
        <w:t>International Federation of Robotics (2025). World Robotics Report 2025. IFR Press, Frankfurt.</w:t>
      </w:r>
    </w:p>
    <w:p>
      <w:pPr>
        <w:spacing w:after="80"/>
        <w:ind w:left="567" w:hanging="567"/>
        <w:jc w:val="both"/>
      </w:pPr>
      <w:r>
        <w:rPr>
          <w:rFonts w:ascii="Times New Roman" w:hAnsi="Times New Roman"/>
          <w:sz w:val="20"/>
        </w:rPr>
        <w:t>Mokyr, J. (2002). The Gifts of Athena: Historical Origins of the Knowledge Economy. Princeton University Press.</w:t>
      </w:r>
    </w:p>
    <w:p>
      <w:pPr>
        <w:spacing w:after="80"/>
        <w:ind w:left="567" w:hanging="567"/>
        <w:jc w:val="both"/>
      </w:pPr>
      <w:r>
        <w:rPr>
          <w:rFonts w:ascii="Times New Roman" w:hAnsi="Times New Roman"/>
          <w:sz w:val="20"/>
        </w:rPr>
        <w:t>Rogers, E. M. (1962). Diffusion of Innovations. Free Press of Glencoe.</w:t>
      </w:r>
    </w:p>
    <w:p>
      <w:pPr>
        <w:spacing w:after="80"/>
        <w:ind w:left="567" w:hanging="567"/>
        <w:jc w:val="both"/>
      </w:pPr>
      <w:r>
        <w:rPr>
          <w:rFonts w:ascii="Times New Roman" w:hAnsi="Times New Roman"/>
          <w:sz w:val="20"/>
        </w:rPr>
        <w:t>Romer, P. M. (1990). Endogenous technological change. Journal of Political Economy, 98(5), S71–S102.</w:t>
      </w:r>
    </w:p>
    <w:p>
      <w:pPr>
        <w:spacing w:after="80"/>
        <w:ind w:left="567" w:hanging="567"/>
        <w:jc w:val="both"/>
      </w:pPr>
      <w:r>
        <w:rPr>
          <w:rFonts w:ascii="Times New Roman" w:hAnsi="Times New Roman"/>
          <w:sz w:val="20"/>
        </w:rPr>
        <w:t>Schumpeter, J. A. (1934). The Theory of Economic Development. Harvard University Press.</w:t>
      </w:r>
    </w:p>
    <w:p>
      <w:pPr>
        <w:spacing w:after="80"/>
        <w:ind w:left="567" w:hanging="567"/>
        <w:jc w:val="both"/>
      </w:pPr>
      <w:r>
        <w:rPr>
          <w:rFonts w:ascii="Times New Roman" w:hAnsi="Times New Roman"/>
          <w:sz w:val="20"/>
        </w:rPr>
        <w:t>Vilar, J. A. (2026a). Escasez y Resiliencia: Un Marco Matemático para Invertir en la Era de la Autorreplicación Artificial. Working Paper, SSRN.</w:t>
      </w:r>
    </w:p>
    <w:p>
      <w:pPr>
        <w:spacing w:after="80"/>
        <w:ind w:left="567" w:hanging="567"/>
        <w:jc w:val="both"/>
      </w:pPr>
      <w:r>
        <w:rPr>
          <w:rFonts w:ascii="Times New Roman" w:hAnsi="Times New Roman"/>
          <w:sz w:val="20"/>
        </w:rPr>
        <w:t>Vilar, J. A. (2026b). Autofabricación y Olas Tecnológicas: El Modelo de Logística Anidada para la Era de los Robots que se Autorreplican. Working Paper, SSRN. [Este paper]</w:t>
      </w:r>
    </w:p>
    <w:p>
      <w:pPr>
        <w:spacing w:after="80"/>
        <w:ind w:left="567" w:hanging="567"/>
        <w:jc w:val="both"/>
      </w:pPr>
      <w:r>
        <w:rPr>
          <w:rFonts w:ascii="Times New Roman" w:hAnsi="Times New Roman"/>
          <w:sz w:val="20"/>
        </w:rPr>
        <w:t>Von Neumann, J. (1966). Theory of Self-Reproducing Automata. University of Illinois Press. (Editado y completado por A. W. Burks.)</w:t>
      </w:r>
    </w:p>
    <w:p>
      <w:r>
        <w:br w:type="page"/>
      </w:r>
    </w:p>
    <w:p>
      <w:pPr>
        <w:pStyle w:val="Heading1"/>
      </w:pPr>
      <w:r>
        <w:t>Nota del Autor</w:t>
      </w:r>
    </w:p>
    <w:p>
      <w:pPr>
        <w:spacing w:before="0" w:after="160"/>
        <w:jc w:val="both"/>
      </w:pPr>
      <w:r>
        <w:rPr>
          <w:b w:val="0"/>
          <w:i w:val="0"/>
        </w:rPr>
        <w:t>Este paper forma parte de una serie de working papers sobre el framework "Escasez y Resiliencia". El autor es profesional de relaciones con inversores y estudiante de Grado en Ciencia de Datos en la Universitat Oberta de Catalunya (UOC). Los modelos matemáticos presentados fueron desarrollados y validados con apoyo de herramientas de inteligencia artificial (Claude, Anthropic) en el contexto de un proyecto personal de gestión de portfolio.</w:t>
      </w:r>
    </w:p>
    <w:p>
      <w:pPr>
        <w:spacing w:before="0" w:after="320"/>
        <w:jc w:val="both"/>
      </w:pPr>
      <w:r>
        <w:rPr>
          <w:b w:val="0"/>
          <w:i/>
        </w:rPr>
        <w:t>Las proyecciones y escenarios incluidos en este paper son ilustrativos y no constituyen asesoramiento de inversión. El autor invierte personalmente en los activos descritos. El presente documento se publica bajo licencia Creative Commons BY-NC 4.0.</w:t>
      </w:r>
    </w:p>
    <w:p>
      <w:pPr>
        <w:spacing w:before="80" w:after="80"/>
        <w:jc w:val="center"/>
      </w:pPr>
      <w:r>
        <w:rPr>
          <w:color w:val="B4B4B4"/>
          <w:sz w:val="16"/>
        </w:rPr>
        <w:t>────────────────────────────────────────────────────────────────────────</w:t>
      </w:r>
    </w:p>
    <w:p>
      <w:pPr>
        <w:spacing w:before="160"/>
        <w:jc w:val="center"/>
      </w:pPr>
      <w:r>
        <w:rPr>
          <w:rFonts w:ascii="Times New Roman" w:hAnsi="Times New Roman"/>
          <w:color w:val="787878"/>
          <w:sz w:val="18"/>
        </w:rPr>
        <w:t>Serie Escasez y Resiliencia · Paper II · v1.0 · Marzo 2026</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